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A653" w14:textId="2DF083D6" w:rsidR="00162FD1" w:rsidRPr="00CB3B35" w:rsidRDefault="0024475D" w:rsidP="00CB3B35">
      <w:pPr>
        <w:pStyle w:val="Title2sl"/>
        <w:rPr>
          <w:i/>
          <w:sz w:val="22"/>
          <w:szCs w:val="22"/>
        </w:rPr>
      </w:pPr>
      <w:bookmarkStart w:id="0" w:name="_GoBack"/>
      <w:bookmarkEnd w:id="0"/>
      <w:r w:rsidRPr="00CB3B35">
        <w:rPr>
          <w:i/>
          <w:sz w:val="22"/>
          <w:szCs w:val="22"/>
        </w:rPr>
        <w:t>R.G. &amp; G.R. Harris Funeral Homes, Inc. v.</w:t>
      </w:r>
      <w:r w:rsidR="00CB3B35" w:rsidRPr="00CB3B35">
        <w:rPr>
          <w:i/>
          <w:sz w:val="22"/>
          <w:szCs w:val="22"/>
        </w:rPr>
        <w:t xml:space="preserve"> </w:t>
      </w:r>
      <w:r w:rsidRPr="00CB3B35">
        <w:rPr>
          <w:i/>
          <w:sz w:val="22"/>
          <w:szCs w:val="22"/>
        </w:rPr>
        <w:t>Equal Employment Opportunity Commission</w:t>
      </w:r>
      <w:r w:rsidR="008B4C62" w:rsidRPr="00CB3B35">
        <w:rPr>
          <w:i/>
          <w:sz w:val="22"/>
          <w:szCs w:val="22"/>
        </w:rPr>
        <w:t xml:space="preserve"> </w:t>
      </w:r>
      <w:r w:rsidRPr="00CB3B35">
        <w:rPr>
          <w:i/>
          <w:sz w:val="22"/>
          <w:szCs w:val="22"/>
        </w:rPr>
        <w:t>and Aimee</w:t>
      </w:r>
      <w:r w:rsidR="00CB3B35" w:rsidRPr="00CB3B35">
        <w:rPr>
          <w:i/>
          <w:sz w:val="22"/>
          <w:szCs w:val="22"/>
        </w:rPr>
        <w:t xml:space="preserve"> </w:t>
      </w:r>
      <w:r w:rsidRPr="00CB3B35">
        <w:rPr>
          <w:i/>
          <w:sz w:val="22"/>
          <w:szCs w:val="22"/>
        </w:rPr>
        <w:t>Stephens</w:t>
      </w:r>
      <w:r w:rsidR="00CB3B35">
        <w:rPr>
          <w:i/>
          <w:sz w:val="22"/>
          <w:szCs w:val="22"/>
        </w:rPr>
        <w:br/>
      </w:r>
      <w:r w:rsidR="00CB3B35">
        <w:rPr>
          <w:sz w:val="16"/>
          <w:szCs w:val="16"/>
        </w:rPr>
        <w:tab/>
      </w:r>
      <w:r w:rsidR="00CB3B35">
        <w:rPr>
          <w:sz w:val="16"/>
          <w:szCs w:val="16"/>
        </w:rPr>
        <w:tab/>
      </w:r>
      <w:r w:rsidR="00CB3B35">
        <w:rPr>
          <w:sz w:val="16"/>
          <w:szCs w:val="16"/>
        </w:rPr>
        <w:tab/>
      </w:r>
      <w:r w:rsidR="00CB3B35">
        <w:rPr>
          <w:sz w:val="16"/>
          <w:szCs w:val="16"/>
        </w:rPr>
        <w:tab/>
      </w:r>
      <w:r w:rsidR="00CB3B35">
        <w:rPr>
          <w:sz w:val="16"/>
          <w:szCs w:val="16"/>
        </w:rPr>
        <w:tab/>
      </w:r>
      <w:r w:rsidR="00CB3B35">
        <w:rPr>
          <w:sz w:val="16"/>
          <w:szCs w:val="16"/>
        </w:rPr>
        <w:tab/>
      </w:r>
      <w:r w:rsidR="00CB3B35">
        <w:rPr>
          <w:sz w:val="16"/>
          <w:szCs w:val="16"/>
        </w:rPr>
        <w:tab/>
      </w:r>
      <w:r w:rsidRPr="00CB3B35">
        <w:rPr>
          <w:sz w:val="16"/>
          <w:szCs w:val="16"/>
        </w:rPr>
        <w:t>Argued: October 8, 2019</w:t>
      </w:r>
      <w:r w:rsidR="00CB3B35">
        <w:rPr>
          <w:sz w:val="16"/>
          <w:szCs w:val="16"/>
        </w:rPr>
        <w:br/>
      </w:r>
      <w:r w:rsidR="00162FD1" w:rsidRPr="00CB3B35">
        <w:rPr>
          <w:sz w:val="22"/>
          <w:szCs w:val="22"/>
        </w:rPr>
        <w:t>Background</w:t>
      </w:r>
      <w:r w:rsidR="00CB3B35">
        <w:rPr>
          <w:sz w:val="22"/>
          <w:szCs w:val="22"/>
        </w:rPr>
        <w:br/>
      </w:r>
      <w:r w:rsidR="00CB3B35">
        <w:rPr>
          <w:rFonts w:ascii="Garamond" w:hAnsi="Garamond"/>
          <w:b w:val="0"/>
          <w:bCs/>
          <w:iCs/>
          <w:sz w:val="8"/>
          <w:szCs w:val="8"/>
        </w:rPr>
        <w:br/>
      </w:r>
      <w:r w:rsidR="00162FD1" w:rsidRPr="00CB3B35">
        <w:rPr>
          <w:rFonts w:ascii="Garamond" w:hAnsi="Garamond"/>
          <w:b w:val="0"/>
          <w:bCs/>
          <w:iCs/>
          <w:sz w:val="20"/>
          <w:szCs w:val="20"/>
        </w:rPr>
        <w:t xml:space="preserve">The 14th Amendment guarantees that “No State shall…deny to any person within its jurisdiction the equal protection of the laws.” To help secure this constitutional protection, Congress passed the </w:t>
      </w:r>
      <w:r w:rsidR="00162FD1" w:rsidRPr="00CB3B35">
        <w:rPr>
          <w:rFonts w:ascii="Garamond" w:hAnsi="Garamond"/>
          <w:iCs/>
          <w:sz w:val="20"/>
          <w:szCs w:val="20"/>
        </w:rPr>
        <w:t>Civil Rights Act of 1964</w:t>
      </w:r>
      <w:r w:rsidR="00162FD1" w:rsidRPr="00CB3B35">
        <w:rPr>
          <w:rFonts w:ascii="Garamond" w:hAnsi="Garamond"/>
          <w:b w:val="0"/>
          <w:bCs/>
          <w:iCs/>
          <w:sz w:val="20"/>
          <w:szCs w:val="20"/>
        </w:rPr>
        <w:t xml:space="preserve">. This landmark piece of legislation prohibits discrimination based on race, color, religion, sex, or national origin in places of public accommodation, schools, and employment. One key provision of the Civil Rights Act is </w:t>
      </w:r>
      <w:r w:rsidR="00162FD1" w:rsidRPr="00CB3B35">
        <w:rPr>
          <w:rFonts w:ascii="Garamond" w:hAnsi="Garamond"/>
          <w:iCs/>
          <w:sz w:val="20"/>
          <w:szCs w:val="20"/>
        </w:rPr>
        <w:t>Title VII</w:t>
      </w:r>
      <w:r w:rsidR="00162FD1" w:rsidRPr="00CB3B35">
        <w:rPr>
          <w:rFonts w:ascii="Garamond" w:hAnsi="Garamond"/>
          <w:b w:val="0"/>
          <w:bCs/>
          <w:iCs/>
          <w:sz w:val="20"/>
          <w:szCs w:val="20"/>
        </w:rPr>
        <w:t xml:space="preserve">, which makes it unlawful for employers to make employment decisions based on a person’s race, color, religion, sex, or national origin. Since 1964, Congress has amended Title VII and passed additional laws making it unlawful for employers to discriminate based on other factors, such as pregnancy, age, and disability. While a bill called the </w:t>
      </w:r>
      <w:proofErr w:type="gramStart"/>
      <w:r w:rsidR="00162FD1" w:rsidRPr="00CB3B35">
        <w:rPr>
          <w:rFonts w:ascii="Garamond" w:hAnsi="Garamond"/>
          <w:b w:val="0"/>
          <w:bCs/>
          <w:iCs/>
          <w:sz w:val="20"/>
          <w:szCs w:val="20"/>
        </w:rPr>
        <w:t>Equality</w:t>
      </w:r>
      <w:proofErr w:type="gramEnd"/>
      <w:r w:rsidR="00162FD1" w:rsidRPr="00CB3B35">
        <w:rPr>
          <w:rFonts w:ascii="Garamond" w:hAnsi="Garamond"/>
          <w:b w:val="0"/>
          <w:bCs/>
          <w:iCs/>
          <w:sz w:val="20"/>
          <w:szCs w:val="20"/>
        </w:rPr>
        <w:t xml:space="preserve"> Act passed in the U.S. House of Representatives on May 17, 2019, it has not been taken up by the Senate yet, so there is no federal law that explicitly provides protections for LGBTQ workers against discrimination. Some federal courts have concluded that the protections against “sex” discrimination already contained in Title VII also restricts employers from discriminating based on sexual orientation or gender identity. Other federal courts have reached the opposite conclusion. </w:t>
      </w:r>
    </w:p>
    <w:p w14:paraId="7890BEBA" w14:textId="77777777" w:rsidR="00162FD1" w:rsidRPr="00CB3B35" w:rsidRDefault="00162FD1" w:rsidP="00CB3B35">
      <w:pPr>
        <w:pStyle w:val="Subhead2sl"/>
        <w:spacing w:before="0"/>
        <w:rPr>
          <w:rFonts w:ascii="Garamond" w:hAnsi="Garamond"/>
          <w:b w:val="0"/>
          <w:bCs/>
          <w:i w:val="0"/>
          <w:iCs/>
          <w:sz w:val="20"/>
          <w:szCs w:val="20"/>
        </w:rPr>
      </w:pPr>
      <w:r w:rsidRPr="00CB3B35">
        <w:rPr>
          <w:rFonts w:ascii="Garamond" w:hAnsi="Garamond"/>
          <w:b w:val="0"/>
          <w:bCs/>
          <w:i w:val="0"/>
          <w:iCs/>
          <w:sz w:val="20"/>
          <w:szCs w:val="20"/>
        </w:rPr>
        <w:t xml:space="preserve">One way that an employer can unlawfully discriminate against an employee is if there is evidence of </w:t>
      </w:r>
      <w:r w:rsidRPr="00CB3B35">
        <w:rPr>
          <w:rFonts w:ascii="Garamond" w:hAnsi="Garamond"/>
          <w:i w:val="0"/>
          <w:iCs/>
          <w:sz w:val="20"/>
          <w:szCs w:val="20"/>
        </w:rPr>
        <w:t>disparate treatment</w:t>
      </w:r>
      <w:r w:rsidRPr="00CB3B35">
        <w:rPr>
          <w:rFonts w:ascii="Garamond" w:hAnsi="Garamond"/>
          <w:b w:val="0"/>
          <w:bCs/>
          <w:i w:val="0"/>
          <w:iCs/>
          <w:sz w:val="20"/>
          <w:szCs w:val="20"/>
        </w:rPr>
        <w:t xml:space="preserve">. Disparate treatment occurs when a member of a group that is protected under Title VII, called a </w:t>
      </w:r>
      <w:r w:rsidRPr="00CB3B35">
        <w:rPr>
          <w:rFonts w:ascii="Garamond" w:hAnsi="Garamond"/>
          <w:i w:val="0"/>
          <w:iCs/>
          <w:sz w:val="20"/>
          <w:szCs w:val="20"/>
        </w:rPr>
        <w:t>protected class</w:t>
      </w:r>
      <w:r w:rsidRPr="00CB3B35">
        <w:rPr>
          <w:rFonts w:ascii="Garamond" w:hAnsi="Garamond"/>
          <w:b w:val="0"/>
          <w:bCs/>
          <w:i w:val="0"/>
          <w:iCs/>
          <w:sz w:val="20"/>
          <w:szCs w:val="20"/>
        </w:rPr>
        <w:t xml:space="preserve">, is treated differently (“less well”) than </w:t>
      </w:r>
      <w:r w:rsidRPr="00CB3B35">
        <w:rPr>
          <w:rFonts w:ascii="Garamond" w:hAnsi="Garamond"/>
          <w:i w:val="0"/>
          <w:iCs/>
          <w:sz w:val="20"/>
          <w:szCs w:val="20"/>
        </w:rPr>
        <w:t>similarly situated</w:t>
      </w:r>
      <w:r w:rsidRPr="00CB3B35">
        <w:rPr>
          <w:rFonts w:ascii="Garamond" w:hAnsi="Garamond"/>
          <w:b w:val="0"/>
          <w:bCs/>
          <w:i w:val="0"/>
          <w:iCs/>
          <w:sz w:val="20"/>
          <w:szCs w:val="20"/>
        </w:rPr>
        <w:t xml:space="preserve"> peers.  Two individuals are similarly situated if they share the same relevant characteristics—such as education, job performance, and other qualifications—except for one individual’s membership in a protected class. For example, if two employees with the same qualifications—one man and one woman—were being considered for a promotion and the man was chosen over the woman because the company did not want to promote a woman, that would be evidence of disparate treatment. To prove a claim of sex discrimination, an employee can point to </w:t>
      </w:r>
      <w:r w:rsidRPr="00CB3B35">
        <w:rPr>
          <w:rFonts w:ascii="Garamond" w:hAnsi="Garamond"/>
          <w:i w:val="0"/>
          <w:iCs/>
          <w:sz w:val="20"/>
          <w:szCs w:val="20"/>
        </w:rPr>
        <w:t>sex stereotyping</w:t>
      </w:r>
      <w:r w:rsidRPr="00CB3B35">
        <w:rPr>
          <w:rFonts w:ascii="Garamond" w:hAnsi="Garamond"/>
          <w:b w:val="0"/>
          <w:bCs/>
          <w:i w:val="0"/>
          <w:iCs/>
          <w:sz w:val="20"/>
          <w:szCs w:val="20"/>
        </w:rPr>
        <w:t xml:space="preserve">, which occurs when an employee is punished for acting in a way that differs from how their employer expects them to behave based on their sex, such as firing a woman for not wearing makeup. </w:t>
      </w:r>
    </w:p>
    <w:p w14:paraId="4D468F41" w14:textId="6EA2A924" w:rsidR="00DB46B3" w:rsidRPr="00CB3B35" w:rsidRDefault="0024475D" w:rsidP="00CB3B35">
      <w:pPr>
        <w:pStyle w:val="Subhead2sl"/>
        <w:spacing w:before="0"/>
        <w:rPr>
          <w:rFonts w:ascii="Garamond" w:hAnsi="Garamond"/>
          <w:b w:val="0"/>
          <w:bCs/>
          <w:i w:val="0"/>
          <w:iCs/>
          <w:sz w:val="20"/>
          <w:szCs w:val="20"/>
        </w:rPr>
      </w:pPr>
      <w:r w:rsidRPr="00CB3B35">
        <w:rPr>
          <w:rFonts w:ascii="Garamond" w:hAnsi="Garamond"/>
          <w:b w:val="0"/>
          <w:bCs/>
          <w:i w:val="0"/>
          <w:iCs/>
          <w:sz w:val="20"/>
          <w:szCs w:val="20"/>
        </w:rPr>
        <w:t xml:space="preserve">This case involves workplace discrimination against a </w:t>
      </w:r>
      <w:r w:rsidRPr="00CB3B35">
        <w:rPr>
          <w:rFonts w:ascii="Garamond" w:hAnsi="Garamond"/>
          <w:i w:val="0"/>
          <w:iCs/>
          <w:sz w:val="20"/>
          <w:szCs w:val="20"/>
        </w:rPr>
        <w:t xml:space="preserve">transgender </w:t>
      </w:r>
      <w:r w:rsidRPr="00CB3B35">
        <w:rPr>
          <w:rFonts w:ascii="Garamond" w:hAnsi="Garamond"/>
          <w:b w:val="0"/>
          <w:bCs/>
          <w:i w:val="0"/>
          <w:iCs/>
          <w:sz w:val="20"/>
          <w:szCs w:val="20"/>
        </w:rPr>
        <w:t xml:space="preserve">woman. Someone who is transgender has a </w:t>
      </w:r>
      <w:r w:rsidRPr="00CB3B35">
        <w:rPr>
          <w:rFonts w:ascii="Garamond" w:hAnsi="Garamond"/>
          <w:i w:val="0"/>
          <w:iCs/>
          <w:sz w:val="20"/>
          <w:szCs w:val="20"/>
        </w:rPr>
        <w:t xml:space="preserve">gender identity </w:t>
      </w:r>
      <w:r w:rsidRPr="00CB3B35">
        <w:rPr>
          <w:rFonts w:ascii="Garamond" w:hAnsi="Garamond"/>
          <w:b w:val="0"/>
          <w:bCs/>
          <w:i w:val="0"/>
          <w:iCs/>
          <w:sz w:val="20"/>
          <w:szCs w:val="20"/>
        </w:rPr>
        <w:t xml:space="preserve">that is different from their assigned sex at birth. The term </w:t>
      </w:r>
      <w:r w:rsidRPr="00CB3B35">
        <w:rPr>
          <w:rFonts w:ascii="Garamond" w:hAnsi="Garamond"/>
          <w:i w:val="0"/>
          <w:iCs/>
          <w:sz w:val="20"/>
          <w:szCs w:val="20"/>
        </w:rPr>
        <w:t xml:space="preserve">sex </w:t>
      </w:r>
      <w:r w:rsidRPr="00CB3B35">
        <w:rPr>
          <w:rFonts w:ascii="Garamond" w:hAnsi="Garamond"/>
          <w:b w:val="0"/>
          <w:bCs/>
          <w:i w:val="0"/>
          <w:iCs/>
          <w:sz w:val="20"/>
          <w:szCs w:val="20"/>
        </w:rPr>
        <w:t xml:space="preserve">refers to the biological and genetic differences between males and females, while </w:t>
      </w:r>
      <w:r w:rsidRPr="00CB3B35">
        <w:rPr>
          <w:rFonts w:ascii="Garamond" w:hAnsi="Garamond"/>
          <w:i w:val="0"/>
          <w:iCs/>
          <w:sz w:val="20"/>
          <w:szCs w:val="20"/>
        </w:rPr>
        <w:t>gender</w:t>
      </w:r>
      <w:r w:rsidRPr="00CB3B35">
        <w:rPr>
          <w:rFonts w:ascii="Garamond" w:hAnsi="Garamond"/>
          <w:b w:val="0"/>
          <w:bCs/>
          <w:i w:val="0"/>
          <w:iCs/>
          <w:sz w:val="20"/>
          <w:szCs w:val="20"/>
        </w:rPr>
        <w:t xml:space="preserve"> encompasses the social roles of males and females. Similarly, gender identity is an individual’s own understanding of their gender regardless of their biological sex.</w:t>
      </w:r>
      <w:r w:rsidR="00CB3B35">
        <w:rPr>
          <w:rFonts w:ascii="Garamond" w:hAnsi="Garamond"/>
          <w:b w:val="0"/>
          <w:bCs/>
          <w:i w:val="0"/>
          <w:iCs/>
          <w:sz w:val="20"/>
          <w:szCs w:val="20"/>
        </w:rPr>
        <w:br/>
      </w:r>
      <w:r w:rsidR="00CB3B35">
        <w:rPr>
          <w:rFonts w:ascii="Garamond" w:hAnsi="Garamond"/>
          <w:b w:val="0"/>
          <w:bCs/>
          <w:i w:val="0"/>
          <w:iCs/>
          <w:sz w:val="20"/>
          <w:szCs w:val="20"/>
        </w:rPr>
        <w:br/>
      </w:r>
      <w:r w:rsidRPr="00CB3B35">
        <w:rPr>
          <w:sz w:val="22"/>
          <w:szCs w:val="22"/>
        </w:rPr>
        <w:t>Facts</w:t>
      </w:r>
      <w:r w:rsidR="00CB3B35">
        <w:rPr>
          <w:sz w:val="22"/>
          <w:szCs w:val="22"/>
        </w:rPr>
        <w:br/>
      </w:r>
      <w:r w:rsidR="00CB3B35">
        <w:rPr>
          <w:rFonts w:ascii="Garamond" w:hAnsi="Garamond"/>
          <w:b w:val="0"/>
          <w:i w:val="0"/>
          <w:sz w:val="8"/>
          <w:szCs w:val="8"/>
        </w:rPr>
        <w:br/>
      </w:r>
      <w:r w:rsidRPr="00CB3B35">
        <w:rPr>
          <w:rFonts w:ascii="Garamond" w:hAnsi="Garamond"/>
          <w:b w:val="0"/>
          <w:i w:val="0"/>
          <w:sz w:val="20"/>
          <w:szCs w:val="20"/>
        </w:rPr>
        <w:t>Aimee Stephens worked as an embalmer and funeral director at R.G. &amp; G.R. Harris Funeral Homes, Inc. in Michigan for almost six years. Stephens is a transgender woman, meaning that although she was assigned male at birth, she identifies as a woman. R.G. &amp; G.R. Harris Funeral Homes has a gender specific dress code that requires men to wear a suit and women to wear skirts or dresses at all times. The Supreme Court has ruled that it is not unconstitutional for employers to have gender specific dress codes. For most of her time working for the funeral home, Stephens presented herself as a man and wore a suit</w:t>
      </w:r>
      <w:r w:rsidR="00B5053C" w:rsidRPr="00CB3B35">
        <w:rPr>
          <w:rFonts w:ascii="Garamond" w:hAnsi="Garamond"/>
          <w:b w:val="0"/>
          <w:i w:val="0"/>
          <w:sz w:val="20"/>
          <w:szCs w:val="20"/>
        </w:rPr>
        <w:t>.</w:t>
      </w:r>
      <w:r w:rsidRPr="00CB3B35">
        <w:rPr>
          <w:rFonts w:ascii="Garamond" w:hAnsi="Garamond"/>
          <w:b w:val="0"/>
          <w:i w:val="0"/>
          <w:sz w:val="20"/>
          <w:szCs w:val="20"/>
        </w:rPr>
        <w:t xml:space="preserve"> On July 31, 2013, she informed her employer that she was going to begin living openly as a woman and stated her intention to dress in “appropriate business attire” for women to meet the requirements of the funeral home’s female dress code. The owner of the funeral home expressed concern that Stephens dressing as a female would make clients uncomfortable and instructed Stephens to comply with the male dress code and wear a suit during working hours. Two weeks later, the owner of the funeral home fired Stephens despite her satisfactory job performance. When asked why she was being fired, Stephens’ boss stated that it was because “he…was no longer going to represent himself as a man.”</w:t>
      </w:r>
      <w:r w:rsidR="00C74FFF" w:rsidRPr="00CB3B35">
        <w:rPr>
          <w:sz w:val="20"/>
          <w:szCs w:val="20"/>
        </w:rPr>
        <w:t xml:space="preserve"> </w:t>
      </w:r>
    </w:p>
    <w:p w14:paraId="26F27F37" w14:textId="29791FDF" w:rsidR="00414DF3" w:rsidRPr="00CB3B35" w:rsidRDefault="0024475D" w:rsidP="00CB3B35">
      <w:pPr>
        <w:pStyle w:val="Basiccopysl"/>
        <w:spacing w:line="240" w:lineRule="auto"/>
        <w:rPr>
          <w:sz w:val="20"/>
          <w:szCs w:val="20"/>
        </w:rPr>
      </w:pPr>
      <w:r w:rsidRPr="00CB3B35">
        <w:rPr>
          <w:sz w:val="20"/>
          <w:szCs w:val="20"/>
        </w:rPr>
        <w:t xml:space="preserve">After she was fired, Stephens filed a charge of discrimination with the </w:t>
      </w:r>
      <w:r w:rsidRPr="00CB3B35">
        <w:rPr>
          <w:b/>
          <w:bCs/>
          <w:sz w:val="20"/>
          <w:szCs w:val="20"/>
        </w:rPr>
        <w:t>Equal Employment Opportunity Commission (EEOC)</w:t>
      </w:r>
      <w:r w:rsidRPr="00CB3B35">
        <w:rPr>
          <w:sz w:val="20"/>
          <w:szCs w:val="20"/>
        </w:rPr>
        <w:t>, which is a federal agency that addresses complaints of employment discrimination.</w:t>
      </w:r>
      <w:r w:rsidRPr="00CB3B35">
        <w:rPr>
          <w:b/>
          <w:bCs/>
          <w:sz w:val="20"/>
          <w:szCs w:val="20"/>
        </w:rPr>
        <w:t xml:space="preserve"> </w:t>
      </w:r>
      <w:r w:rsidRPr="00CB3B35">
        <w:rPr>
          <w:sz w:val="20"/>
          <w:szCs w:val="20"/>
        </w:rPr>
        <w:t xml:space="preserve">The EEOC investigated and filed a complaint against the funeral home, alleging that they violated Title VII by firing Stephens because she is transgender and because of her “transition from male to female, and/or because [she] did not conform to [her employer’s] sex- or gender-based preferences, expectations, or preferences.” </w:t>
      </w:r>
    </w:p>
    <w:p w14:paraId="40072936" w14:textId="77777777" w:rsidR="00AB591F" w:rsidRPr="00CB3B35" w:rsidRDefault="0024475D" w:rsidP="00CB3B35">
      <w:pPr>
        <w:pStyle w:val="Basiccopysl"/>
        <w:spacing w:line="240" w:lineRule="auto"/>
        <w:rPr>
          <w:sz w:val="20"/>
          <w:szCs w:val="20"/>
        </w:rPr>
      </w:pPr>
      <w:r w:rsidRPr="00CB3B35">
        <w:rPr>
          <w:sz w:val="20"/>
          <w:szCs w:val="20"/>
        </w:rPr>
        <w:t xml:space="preserve">The funeral home asked the District Court to dismiss this complaint. The District Court found in favor of the funeral home, saying that transgender individuals are not currently considered a protected class under Title VII of the Civil Rights Act. </w:t>
      </w:r>
    </w:p>
    <w:p w14:paraId="6DC4DA5A" w14:textId="77777777" w:rsidR="00966F21" w:rsidRPr="00CB3B35" w:rsidRDefault="0024475D" w:rsidP="00CB3B35">
      <w:pPr>
        <w:pStyle w:val="Basiccopysl"/>
        <w:spacing w:line="240" w:lineRule="auto"/>
        <w:rPr>
          <w:sz w:val="20"/>
          <w:szCs w:val="20"/>
        </w:rPr>
      </w:pPr>
      <w:r w:rsidRPr="00CB3B35">
        <w:rPr>
          <w:sz w:val="20"/>
          <w:szCs w:val="20"/>
        </w:rPr>
        <w:t xml:space="preserve">The EEOC appealed this decision, and the Court of Appeals reversed the District Court’s ruling. First, the Court of Appeals agreed that the owner of the funeral home discriminated against Stephens because she refused to dress and act consistently with the employer’s sex stereotypes. In addition, the Court found that firing Stephens because she is transgender “is inherently a form of sex discrimination that violates Title VII.” </w:t>
      </w:r>
    </w:p>
    <w:p w14:paraId="69A1296D" w14:textId="751F4C0E" w:rsidR="00662E0B" w:rsidRPr="00CB3B35" w:rsidRDefault="0024475D" w:rsidP="00CB3B35">
      <w:pPr>
        <w:pStyle w:val="Basiccopysl"/>
        <w:spacing w:line="240" w:lineRule="auto"/>
        <w:rPr>
          <w:sz w:val="20"/>
          <w:szCs w:val="20"/>
        </w:rPr>
      </w:pPr>
      <w:r w:rsidRPr="00CB3B35">
        <w:rPr>
          <w:sz w:val="20"/>
          <w:szCs w:val="20"/>
        </w:rPr>
        <w:t xml:space="preserve">In October 2017, after the EEOC filed the complaint against R.G. &amp; G.R. Harris Funeral Homes, former </w:t>
      </w:r>
      <w:r w:rsidR="00B54C48" w:rsidRPr="00CB3B35">
        <w:rPr>
          <w:sz w:val="20"/>
          <w:szCs w:val="20"/>
        </w:rPr>
        <w:t xml:space="preserve">U.S. </w:t>
      </w:r>
      <w:r w:rsidRPr="00CB3B35">
        <w:rPr>
          <w:sz w:val="20"/>
          <w:szCs w:val="20"/>
        </w:rPr>
        <w:t>Attorney General Jeff Sessions ordered all departments within the Department of Justice, including the EEOC, to interpret Title VII to mean that it does</w:t>
      </w:r>
      <w:r w:rsidRPr="00CB3B35">
        <w:rPr>
          <w:b/>
          <w:bCs/>
          <w:sz w:val="20"/>
          <w:szCs w:val="20"/>
        </w:rPr>
        <w:t xml:space="preserve"> </w:t>
      </w:r>
      <w:r w:rsidRPr="00CB3B35">
        <w:rPr>
          <w:sz w:val="20"/>
          <w:szCs w:val="20"/>
          <w:u w:val="single"/>
        </w:rPr>
        <w:t>not</w:t>
      </w:r>
      <w:r w:rsidRPr="00CB3B35">
        <w:rPr>
          <w:sz w:val="20"/>
          <w:szCs w:val="20"/>
        </w:rPr>
        <w:t xml:space="preserve"> protect against gender identity discrimination.</w:t>
      </w:r>
      <w:r w:rsidR="00C74FFF" w:rsidRPr="00CB3B35">
        <w:rPr>
          <w:sz w:val="20"/>
          <w:szCs w:val="20"/>
        </w:rPr>
        <w:t xml:space="preserve"> </w:t>
      </w:r>
      <w:r w:rsidRPr="00CB3B35">
        <w:rPr>
          <w:sz w:val="20"/>
          <w:szCs w:val="20"/>
        </w:rPr>
        <w:t>The EEOC reversed their position and modified their arguments to support the funeral home owner.</w:t>
      </w:r>
      <w:r w:rsidR="00C74FFF" w:rsidRPr="00CB3B35">
        <w:rPr>
          <w:sz w:val="20"/>
          <w:szCs w:val="20"/>
        </w:rPr>
        <w:t xml:space="preserve"> </w:t>
      </w:r>
      <w:r w:rsidRPr="00CB3B35">
        <w:rPr>
          <w:sz w:val="20"/>
          <w:szCs w:val="20"/>
        </w:rPr>
        <w:t>However, Aimee Stephens aided by the American Civil Liberties Union (ACLU) continue</w:t>
      </w:r>
      <w:r w:rsidR="00B54C48" w:rsidRPr="00CB3B35">
        <w:rPr>
          <w:sz w:val="20"/>
          <w:szCs w:val="20"/>
        </w:rPr>
        <w:t>d</w:t>
      </w:r>
      <w:r w:rsidRPr="00CB3B35">
        <w:rPr>
          <w:sz w:val="20"/>
          <w:szCs w:val="20"/>
        </w:rPr>
        <w:t xml:space="preserve"> to argue that Title VII protects transgender employees like herself.</w:t>
      </w:r>
      <w:r w:rsidR="00C74FFF" w:rsidRPr="00CB3B35">
        <w:rPr>
          <w:sz w:val="20"/>
          <w:szCs w:val="20"/>
        </w:rPr>
        <w:t xml:space="preserve"> </w:t>
      </w:r>
    </w:p>
    <w:p w14:paraId="084DD235" w14:textId="03D3A658" w:rsidR="00256FFC" w:rsidRPr="00CB3B35" w:rsidRDefault="0024475D" w:rsidP="00CB3B35">
      <w:pPr>
        <w:pStyle w:val="Basiccopysl"/>
        <w:spacing w:line="240" w:lineRule="auto"/>
        <w:rPr>
          <w:sz w:val="20"/>
          <w:szCs w:val="20"/>
        </w:rPr>
      </w:pPr>
      <w:r w:rsidRPr="00CB3B35">
        <w:rPr>
          <w:bCs/>
          <w:iCs/>
          <w:sz w:val="20"/>
          <w:szCs w:val="20"/>
        </w:rPr>
        <w:t>Following the Court of Appeals decision, R.G. &amp; G.R. Harris Funeral Homes, Inc. asked the Supreme Court of the United States to review that decision, and the Court agreed to hear the case.</w:t>
      </w:r>
    </w:p>
    <w:p w14:paraId="26A90A30" w14:textId="0E6096B9" w:rsidR="00572F56" w:rsidRPr="00CB3B35" w:rsidRDefault="0024475D" w:rsidP="00CB3B35">
      <w:pPr>
        <w:pStyle w:val="Subhead2sl"/>
        <w:keepNext/>
        <w:rPr>
          <w:sz w:val="20"/>
          <w:szCs w:val="20"/>
        </w:rPr>
      </w:pPr>
      <w:r w:rsidRPr="00CB3B35">
        <w:rPr>
          <w:sz w:val="22"/>
          <w:szCs w:val="22"/>
        </w:rPr>
        <w:lastRenderedPageBreak/>
        <w:t>Issue</w:t>
      </w:r>
      <w:r w:rsidR="00CB3B35">
        <w:rPr>
          <w:sz w:val="22"/>
          <w:szCs w:val="22"/>
        </w:rPr>
        <w:t xml:space="preserve">: </w:t>
      </w:r>
      <w:r w:rsidRPr="00CB3B35">
        <w:rPr>
          <w:b w:val="0"/>
          <w:i w:val="0"/>
          <w:sz w:val="20"/>
          <w:szCs w:val="20"/>
        </w:rPr>
        <w:t xml:space="preserve">Does Title VII of the Civil Rights Act of 1964 prohibit discrimination against transgender employees based on (1) their status as transgender or (2) sex stereotyping under </w:t>
      </w:r>
      <w:r w:rsidRPr="00CB3B35">
        <w:rPr>
          <w:b w:val="0"/>
          <w:i w:val="0"/>
          <w:iCs/>
          <w:sz w:val="20"/>
          <w:szCs w:val="20"/>
        </w:rPr>
        <w:t>Price Waterhouse v. Hopkins</w:t>
      </w:r>
      <w:r w:rsidRPr="00CB3B35">
        <w:rPr>
          <w:b w:val="0"/>
          <w:i w:val="0"/>
          <w:sz w:val="20"/>
          <w:szCs w:val="20"/>
        </w:rPr>
        <w:t>?</w:t>
      </w:r>
    </w:p>
    <w:p w14:paraId="211C6660" w14:textId="1123EFF9" w:rsidR="00FC5668" w:rsidRPr="00CB3B35" w:rsidRDefault="000162FC" w:rsidP="000162FC">
      <w:pPr>
        <w:pStyle w:val="Subhead2sl"/>
        <w:rPr>
          <w:sz w:val="20"/>
          <w:szCs w:val="20"/>
        </w:rPr>
      </w:pPr>
      <w:r>
        <w:rPr>
          <w:sz w:val="22"/>
          <w:szCs w:val="22"/>
        </w:rPr>
        <w:t xml:space="preserve">Constitutional Provision and Federal </w:t>
      </w:r>
      <w:r w:rsidR="0024475D" w:rsidRPr="00CB3B35">
        <w:rPr>
          <w:sz w:val="22"/>
          <w:szCs w:val="22"/>
        </w:rPr>
        <w:t>Laws</w:t>
      </w:r>
      <w:r>
        <w:rPr>
          <w:sz w:val="22"/>
          <w:szCs w:val="22"/>
        </w:rPr>
        <w:br/>
      </w:r>
      <w:r>
        <w:rPr>
          <w:b w:val="0"/>
          <w:i w:val="0"/>
          <w:sz w:val="8"/>
          <w:szCs w:val="8"/>
        </w:rPr>
        <w:br/>
      </w:r>
      <w:r>
        <w:rPr>
          <w:b w:val="0"/>
          <w:i w:val="0"/>
          <w:sz w:val="20"/>
          <w:szCs w:val="20"/>
        </w:rPr>
        <w:t xml:space="preserve">- </w:t>
      </w:r>
      <w:r w:rsidR="0024475D" w:rsidRPr="000162FC">
        <w:rPr>
          <w:b w:val="0"/>
          <w:i w:val="0"/>
          <w:sz w:val="20"/>
          <w:szCs w:val="20"/>
        </w:rPr>
        <w:t>14th Amendment to the U.S. Constitution</w:t>
      </w:r>
      <w:r w:rsidR="00CB3B35" w:rsidRPr="000162FC">
        <w:rPr>
          <w:b w:val="0"/>
          <w:i w:val="0"/>
          <w:sz w:val="20"/>
          <w:szCs w:val="20"/>
        </w:rPr>
        <w:t xml:space="preserve">: </w:t>
      </w:r>
      <w:r w:rsidR="0024475D" w:rsidRPr="000162FC">
        <w:rPr>
          <w:b w:val="0"/>
          <w:i w:val="0"/>
          <w:sz w:val="20"/>
          <w:szCs w:val="20"/>
        </w:rPr>
        <w:t xml:space="preserve">“No State shall…deny to any person within its jurisdiction the equal protection of the laws.” </w:t>
      </w:r>
      <w:r w:rsidRPr="000162FC">
        <w:rPr>
          <w:b w:val="0"/>
          <w:i w:val="0"/>
          <w:sz w:val="20"/>
          <w:szCs w:val="20"/>
        </w:rPr>
        <w:br/>
      </w:r>
      <w:r>
        <w:rPr>
          <w:b w:val="0"/>
          <w:i w:val="0"/>
          <w:sz w:val="8"/>
          <w:szCs w:val="8"/>
        </w:rPr>
        <w:br/>
      </w:r>
      <w:r>
        <w:rPr>
          <w:b w:val="0"/>
          <w:i w:val="0"/>
          <w:sz w:val="20"/>
          <w:szCs w:val="20"/>
        </w:rPr>
        <w:t xml:space="preserve">- </w:t>
      </w:r>
      <w:r w:rsidR="0024475D" w:rsidRPr="000162FC">
        <w:rPr>
          <w:b w:val="0"/>
          <w:i w:val="0"/>
          <w:sz w:val="20"/>
          <w:szCs w:val="20"/>
        </w:rPr>
        <w:t>Title VII of the Civil Rights Act of 1964</w:t>
      </w:r>
      <w:r w:rsidR="00CB3B35" w:rsidRPr="000162FC">
        <w:rPr>
          <w:b w:val="0"/>
          <w:i w:val="0"/>
          <w:sz w:val="20"/>
          <w:szCs w:val="20"/>
        </w:rPr>
        <w:t xml:space="preserve">: </w:t>
      </w:r>
      <w:r w:rsidR="0024475D" w:rsidRPr="000162FC">
        <w:rPr>
          <w:b w:val="0"/>
          <w:i w:val="0"/>
          <w:sz w:val="20"/>
          <w:szCs w:val="20"/>
        </w:rPr>
        <w:t>Title VII of the Civil Rights Act of 1964 makes it unlawful for an employer to fire or refuse to hire an individual or to base their wages or benefits on the basis of their “race, color, religion, sex, or national origin.”</w:t>
      </w:r>
    </w:p>
    <w:p w14:paraId="27241414" w14:textId="7B014689" w:rsidR="00390F68" w:rsidRPr="00CB3B35" w:rsidRDefault="00390F68" w:rsidP="00CB3B35">
      <w:pPr>
        <w:pStyle w:val="Subhead2sl"/>
        <w:rPr>
          <w:i w:val="0"/>
          <w:sz w:val="22"/>
          <w:szCs w:val="22"/>
        </w:rPr>
      </w:pPr>
      <w:r w:rsidRPr="00CB3B35">
        <w:rPr>
          <w:rFonts w:ascii="Calibri" w:eastAsia="Times New Roman" w:hAnsi="Calibri" w:cs="Calibri"/>
          <w:bCs/>
          <w:i w:val="0"/>
          <w:caps/>
          <w:color w:val="7F0000"/>
          <w:spacing w:val="15"/>
          <w:sz w:val="22"/>
          <w:szCs w:val="22"/>
        </w:rPr>
        <w:t xml:space="preserve">Directions: </w:t>
      </w:r>
      <w:r w:rsidRPr="00CB3B35">
        <w:rPr>
          <w:rFonts w:ascii="Garamond" w:eastAsia="Times New Roman" w:hAnsi="Garamond" w:cs="Calibri"/>
          <w:i w:val="0"/>
          <w:color w:val="222222"/>
          <w:sz w:val="22"/>
          <w:szCs w:val="22"/>
        </w:rPr>
        <w:t>The following is a list of arguments from the court case. Read through each argument and decide which side it supports. Write (</w:t>
      </w:r>
      <w:r w:rsidR="00F979FA">
        <w:rPr>
          <w:rFonts w:ascii="Garamond" w:eastAsia="Times New Roman" w:hAnsi="Garamond" w:cs="Calibri"/>
          <w:i w:val="0"/>
          <w:color w:val="222222"/>
          <w:sz w:val="22"/>
          <w:szCs w:val="22"/>
        </w:rPr>
        <w:t>FH</w:t>
      </w:r>
      <w:r w:rsidRPr="00CB3B35">
        <w:rPr>
          <w:rFonts w:ascii="Garamond" w:eastAsia="Times New Roman" w:hAnsi="Garamond" w:cs="Calibri"/>
          <w:i w:val="0"/>
          <w:color w:val="222222"/>
          <w:sz w:val="22"/>
          <w:szCs w:val="22"/>
        </w:rPr>
        <w:t xml:space="preserve">) for the arguments that supports the </w:t>
      </w:r>
      <w:r w:rsidR="00F979FA">
        <w:rPr>
          <w:rFonts w:ascii="Garamond" w:eastAsia="Times New Roman" w:hAnsi="Garamond" w:cs="Calibri"/>
          <w:i w:val="0"/>
          <w:color w:val="222222"/>
          <w:sz w:val="22"/>
          <w:szCs w:val="22"/>
        </w:rPr>
        <w:t>Funeral Home</w:t>
      </w:r>
      <w:r w:rsidRPr="00CB3B35">
        <w:rPr>
          <w:rFonts w:ascii="Garamond" w:eastAsia="Times New Roman" w:hAnsi="Garamond" w:cs="Calibri"/>
          <w:i w:val="0"/>
          <w:color w:val="222222"/>
          <w:sz w:val="22"/>
          <w:szCs w:val="22"/>
        </w:rPr>
        <w:t>'s side and (</w:t>
      </w:r>
      <w:r w:rsidR="00F979FA">
        <w:rPr>
          <w:rFonts w:ascii="Garamond" w:eastAsia="Times New Roman" w:hAnsi="Garamond" w:cs="Calibri"/>
          <w:i w:val="0"/>
          <w:color w:val="222222"/>
          <w:sz w:val="22"/>
          <w:szCs w:val="22"/>
        </w:rPr>
        <w:t>EEOC</w:t>
      </w:r>
      <w:r w:rsidRPr="00CB3B35">
        <w:rPr>
          <w:rFonts w:ascii="Garamond" w:eastAsia="Times New Roman" w:hAnsi="Garamond" w:cs="Calibri"/>
          <w:i w:val="0"/>
          <w:color w:val="222222"/>
          <w:sz w:val="22"/>
          <w:szCs w:val="22"/>
        </w:rPr>
        <w:t xml:space="preserve">) for those arguments that supports </w:t>
      </w:r>
      <w:r w:rsidR="00F979FA">
        <w:rPr>
          <w:rFonts w:ascii="Garamond" w:eastAsia="Times New Roman" w:hAnsi="Garamond" w:cs="Calibri"/>
          <w:i w:val="0"/>
          <w:color w:val="222222"/>
          <w:sz w:val="22"/>
          <w:szCs w:val="22"/>
        </w:rPr>
        <w:t>Aimee Stephen</w:t>
      </w:r>
      <w:r w:rsidRPr="00CB3B35">
        <w:rPr>
          <w:rFonts w:ascii="Garamond" w:eastAsia="Times New Roman" w:hAnsi="Garamond" w:cs="Calibri"/>
          <w:i w:val="0"/>
          <w:color w:val="222222"/>
          <w:sz w:val="22"/>
          <w:szCs w:val="22"/>
        </w:rPr>
        <w:t>. Write your answers in the spaces provided.</w:t>
      </w:r>
    </w:p>
    <w:p w14:paraId="55621243" w14:textId="728E94E7" w:rsidR="000A69BF" w:rsidRPr="000162FC" w:rsidRDefault="00F979FA" w:rsidP="000162FC">
      <w:pPr>
        <w:pStyle w:val="Bulletsl"/>
        <w:numPr>
          <w:ilvl w:val="0"/>
          <w:numId w:val="0"/>
        </w:numPr>
        <w:spacing w:line="276" w:lineRule="auto"/>
        <w:rPr>
          <w:sz w:val="22"/>
          <w:szCs w:val="22"/>
        </w:rPr>
      </w:pPr>
      <w:r w:rsidRPr="000162FC">
        <w:rPr>
          <w:bCs/>
          <w:sz w:val="22"/>
          <w:szCs w:val="22"/>
        </w:rPr>
        <w:t>____</w:t>
      </w:r>
      <w:r w:rsidR="000162FC" w:rsidRPr="000162FC">
        <w:rPr>
          <w:bCs/>
          <w:sz w:val="22"/>
          <w:szCs w:val="22"/>
        </w:rPr>
        <w:t>1.</w:t>
      </w:r>
      <w:r w:rsidRPr="000162FC">
        <w:rPr>
          <w:b/>
          <w:bCs/>
          <w:sz w:val="22"/>
          <w:szCs w:val="22"/>
        </w:rPr>
        <w:t xml:space="preserve"> FH/EEOC </w:t>
      </w:r>
      <w:r w:rsidR="0024475D" w:rsidRPr="000162FC">
        <w:rPr>
          <w:sz w:val="22"/>
          <w:szCs w:val="22"/>
        </w:rPr>
        <w:t>When interpreting laws, courts typically understand words to carry their plain, everyday meaning. The word “sex” was understood by the legislators who passed the law to mean biological sex and did not include gender identity or transgender status. Therefore, Title VII of the Civil Rights Act does not prohibit discrimination on the basis of gender identity.</w:t>
      </w:r>
    </w:p>
    <w:p w14:paraId="0C6B7747" w14:textId="769CA5B9" w:rsidR="000162FC" w:rsidRPr="000162FC" w:rsidRDefault="000162FC" w:rsidP="000162FC">
      <w:pPr>
        <w:pStyle w:val="Bulletsl"/>
        <w:numPr>
          <w:ilvl w:val="0"/>
          <w:numId w:val="0"/>
        </w:numPr>
        <w:spacing w:line="276" w:lineRule="auto"/>
        <w:rPr>
          <w:sz w:val="22"/>
          <w:szCs w:val="22"/>
        </w:rPr>
      </w:pPr>
      <w:r w:rsidRPr="000162FC">
        <w:rPr>
          <w:bCs/>
          <w:sz w:val="22"/>
          <w:szCs w:val="22"/>
        </w:rPr>
        <w:t>____2.</w:t>
      </w:r>
      <w:r w:rsidRPr="000162FC">
        <w:rPr>
          <w:b/>
          <w:bCs/>
          <w:sz w:val="22"/>
          <w:szCs w:val="22"/>
        </w:rPr>
        <w:t xml:space="preserve"> FH/EEOC </w:t>
      </w:r>
      <w:proofErr w:type="gramStart"/>
      <w:r w:rsidRPr="000162FC">
        <w:rPr>
          <w:sz w:val="22"/>
          <w:szCs w:val="22"/>
        </w:rPr>
        <w:t>The</w:t>
      </w:r>
      <w:proofErr w:type="gramEnd"/>
      <w:r w:rsidRPr="000162FC">
        <w:rPr>
          <w:sz w:val="22"/>
          <w:szCs w:val="22"/>
        </w:rPr>
        <w:t xml:space="preserve"> owner of the funeral home admitted that he fired Stephens because she “was no longer going to represent himself as a man” in her behavior and clothing choices. </w:t>
      </w:r>
    </w:p>
    <w:p w14:paraId="11CBA24E" w14:textId="1BFA9115" w:rsidR="000162FC" w:rsidRPr="000162FC" w:rsidRDefault="000162FC" w:rsidP="000162FC">
      <w:pPr>
        <w:pStyle w:val="Bulletsl"/>
        <w:numPr>
          <w:ilvl w:val="0"/>
          <w:numId w:val="0"/>
        </w:numPr>
        <w:spacing w:line="276" w:lineRule="auto"/>
        <w:rPr>
          <w:sz w:val="22"/>
          <w:szCs w:val="22"/>
        </w:rPr>
      </w:pPr>
      <w:r w:rsidRPr="000162FC">
        <w:rPr>
          <w:bCs/>
          <w:sz w:val="22"/>
          <w:szCs w:val="22"/>
        </w:rPr>
        <w:t>____3.</w:t>
      </w:r>
      <w:r w:rsidRPr="000162FC">
        <w:rPr>
          <w:b/>
          <w:bCs/>
          <w:sz w:val="22"/>
          <w:szCs w:val="22"/>
        </w:rPr>
        <w:t xml:space="preserve"> FH/EEOC </w:t>
      </w:r>
      <w:r w:rsidRPr="000162FC">
        <w:rPr>
          <w:sz w:val="22"/>
          <w:szCs w:val="22"/>
        </w:rPr>
        <w:t>Stephens’s firing violated Title VII because she was not judged as an employee based on her individual merit and ability to do the job, but rather on her sex.</w:t>
      </w:r>
    </w:p>
    <w:p w14:paraId="2E636E1B" w14:textId="5E4BC612" w:rsidR="00865E45" w:rsidRPr="000162FC" w:rsidRDefault="000162FC" w:rsidP="000162FC">
      <w:pPr>
        <w:pStyle w:val="Bulletsl"/>
        <w:numPr>
          <w:ilvl w:val="0"/>
          <w:numId w:val="0"/>
        </w:numPr>
        <w:spacing w:line="276" w:lineRule="auto"/>
        <w:rPr>
          <w:sz w:val="22"/>
          <w:szCs w:val="22"/>
        </w:rPr>
      </w:pPr>
      <w:r w:rsidRPr="000162FC">
        <w:rPr>
          <w:bCs/>
          <w:sz w:val="22"/>
          <w:szCs w:val="22"/>
        </w:rPr>
        <w:t>____4.</w:t>
      </w:r>
      <w:r w:rsidRPr="000162FC">
        <w:rPr>
          <w:b/>
          <w:bCs/>
          <w:sz w:val="22"/>
          <w:szCs w:val="22"/>
        </w:rPr>
        <w:t xml:space="preserve"> FH/EEOC </w:t>
      </w:r>
      <w:proofErr w:type="gramStart"/>
      <w:r w:rsidR="0024475D" w:rsidRPr="000162FC">
        <w:rPr>
          <w:sz w:val="22"/>
          <w:szCs w:val="22"/>
        </w:rPr>
        <w:t>The</w:t>
      </w:r>
      <w:proofErr w:type="gramEnd"/>
      <w:r w:rsidR="0024475D" w:rsidRPr="000162FC">
        <w:rPr>
          <w:sz w:val="22"/>
          <w:szCs w:val="22"/>
        </w:rPr>
        <w:t xml:space="preserve"> owner of </w:t>
      </w:r>
      <w:r w:rsidR="00802C08" w:rsidRPr="000162FC">
        <w:rPr>
          <w:sz w:val="22"/>
          <w:szCs w:val="22"/>
        </w:rPr>
        <w:t xml:space="preserve">R.G. &amp; G.R. </w:t>
      </w:r>
      <w:r w:rsidR="0024475D" w:rsidRPr="000162FC">
        <w:rPr>
          <w:sz w:val="22"/>
          <w:szCs w:val="22"/>
        </w:rPr>
        <w:t xml:space="preserve">Harris Funeral Homes fired Stephens not because she is a transgender woman, but because she refused to follow the funeral home’s sex-specific dress code at work. </w:t>
      </w:r>
      <w:r w:rsidR="00802C08" w:rsidRPr="000162FC">
        <w:rPr>
          <w:sz w:val="22"/>
          <w:szCs w:val="22"/>
        </w:rPr>
        <w:t xml:space="preserve">R.G. &amp; G.R. </w:t>
      </w:r>
      <w:r w:rsidR="0024475D" w:rsidRPr="000162FC">
        <w:rPr>
          <w:sz w:val="22"/>
          <w:szCs w:val="22"/>
        </w:rPr>
        <w:t xml:space="preserve">Harris Funeral Homes would have responded to a female employee who wanted to follow the male dress code while working with </w:t>
      </w:r>
      <w:r w:rsidR="00802C08" w:rsidRPr="000162FC">
        <w:rPr>
          <w:sz w:val="22"/>
          <w:szCs w:val="22"/>
        </w:rPr>
        <w:t xml:space="preserve">clients </w:t>
      </w:r>
      <w:r w:rsidR="0024475D" w:rsidRPr="000162FC">
        <w:rPr>
          <w:sz w:val="22"/>
          <w:szCs w:val="22"/>
        </w:rPr>
        <w:t>the same way it responded to Stephens. Because it does not disfavor one sex compared to the other, the funeral home does not discriminate based on sex.</w:t>
      </w:r>
    </w:p>
    <w:p w14:paraId="3783CC83" w14:textId="0581C413" w:rsidR="00C03846" w:rsidRPr="000162FC" w:rsidRDefault="000162FC" w:rsidP="000162FC">
      <w:pPr>
        <w:pStyle w:val="Bulletsl"/>
        <w:numPr>
          <w:ilvl w:val="0"/>
          <w:numId w:val="0"/>
        </w:numPr>
        <w:spacing w:line="276" w:lineRule="auto"/>
        <w:rPr>
          <w:sz w:val="22"/>
          <w:szCs w:val="22"/>
        </w:rPr>
      </w:pPr>
      <w:r w:rsidRPr="000162FC">
        <w:rPr>
          <w:bCs/>
          <w:sz w:val="22"/>
          <w:szCs w:val="22"/>
        </w:rPr>
        <w:t>____5.</w:t>
      </w:r>
      <w:r w:rsidRPr="000162FC">
        <w:rPr>
          <w:b/>
          <w:bCs/>
          <w:sz w:val="22"/>
          <w:szCs w:val="22"/>
        </w:rPr>
        <w:t xml:space="preserve"> FH/EEOC </w:t>
      </w:r>
      <w:r w:rsidR="0024475D" w:rsidRPr="000162FC">
        <w:rPr>
          <w:sz w:val="22"/>
          <w:szCs w:val="22"/>
        </w:rPr>
        <w:t xml:space="preserve">Stephens dressing as a woman would affect her job performance because it might make clients uncomfortable, as well as co-workers who would share a single-sex restroom with </w:t>
      </w:r>
      <w:r w:rsidR="00802C08" w:rsidRPr="000162FC">
        <w:rPr>
          <w:sz w:val="22"/>
          <w:szCs w:val="22"/>
        </w:rPr>
        <w:t>her</w:t>
      </w:r>
      <w:r w:rsidR="0024475D" w:rsidRPr="000162FC">
        <w:rPr>
          <w:sz w:val="22"/>
          <w:szCs w:val="22"/>
        </w:rPr>
        <w:t>.</w:t>
      </w:r>
      <w:r w:rsidR="00C74FFF" w:rsidRPr="000162FC">
        <w:rPr>
          <w:sz w:val="22"/>
          <w:szCs w:val="22"/>
        </w:rPr>
        <w:t xml:space="preserve"> </w:t>
      </w:r>
    </w:p>
    <w:p w14:paraId="56499B19" w14:textId="3843362A" w:rsidR="00865E45" w:rsidRPr="000162FC" w:rsidRDefault="000162FC" w:rsidP="000162FC">
      <w:pPr>
        <w:pStyle w:val="Bulletsl"/>
        <w:numPr>
          <w:ilvl w:val="0"/>
          <w:numId w:val="0"/>
        </w:numPr>
        <w:spacing w:line="276" w:lineRule="auto"/>
        <w:rPr>
          <w:sz w:val="22"/>
          <w:szCs w:val="22"/>
        </w:rPr>
      </w:pPr>
      <w:r w:rsidRPr="000162FC">
        <w:rPr>
          <w:bCs/>
          <w:sz w:val="22"/>
          <w:szCs w:val="22"/>
        </w:rPr>
        <w:t>____6.</w:t>
      </w:r>
      <w:r w:rsidRPr="000162FC">
        <w:rPr>
          <w:b/>
          <w:bCs/>
          <w:sz w:val="22"/>
          <w:szCs w:val="22"/>
        </w:rPr>
        <w:t xml:space="preserve"> FH/EEOC </w:t>
      </w:r>
      <w:proofErr w:type="gramStart"/>
      <w:r w:rsidR="0024475D" w:rsidRPr="000162FC">
        <w:rPr>
          <w:sz w:val="22"/>
          <w:szCs w:val="22"/>
        </w:rPr>
        <w:t>The</w:t>
      </w:r>
      <w:proofErr w:type="gramEnd"/>
      <w:r w:rsidR="0024475D" w:rsidRPr="000162FC">
        <w:rPr>
          <w:sz w:val="22"/>
          <w:szCs w:val="22"/>
        </w:rPr>
        <w:t xml:space="preserve"> funeral home imposes a dress code on both female and male employees, burdening each sex equally. The Supreme Court has ruled in the past that sex-specific dress codes like this one are lawful and are not considered discriminatory or stereotyping.</w:t>
      </w:r>
    </w:p>
    <w:p w14:paraId="3CFE627D" w14:textId="32A9D453" w:rsidR="000162FC" w:rsidRPr="000162FC" w:rsidRDefault="000162FC" w:rsidP="000162FC">
      <w:pPr>
        <w:pStyle w:val="Bulletsl"/>
        <w:numPr>
          <w:ilvl w:val="0"/>
          <w:numId w:val="0"/>
        </w:numPr>
        <w:spacing w:line="276" w:lineRule="auto"/>
        <w:rPr>
          <w:sz w:val="22"/>
          <w:szCs w:val="22"/>
        </w:rPr>
      </w:pPr>
      <w:r w:rsidRPr="000162FC">
        <w:rPr>
          <w:bCs/>
          <w:sz w:val="22"/>
          <w:szCs w:val="22"/>
        </w:rPr>
        <w:t>____7.</w:t>
      </w:r>
      <w:r w:rsidRPr="000162FC">
        <w:rPr>
          <w:b/>
          <w:bCs/>
          <w:sz w:val="22"/>
          <w:szCs w:val="22"/>
        </w:rPr>
        <w:t xml:space="preserve"> FH/EEOC </w:t>
      </w:r>
      <w:r w:rsidRPr="000162FC">
        <w:rPr>
          <w:sz w:val="22"/>
          <w:szCs w:val="22"/>
        </w:rPr>
        <w:t xml:space="preserve">Stephens agreed to follow the dress code for a female funeral director and wear “appropriate business attire” so she would not be violating the dress code. </w:t>
      </w:r>
    </w:p>
    <w:p w14:paraId="60D0024B" w14:textId="43371192" w:rsidR="0065374D" w:rsidRPr="000162FC" w:rsidRDefault="000162FC" w:rsidP="000162FC">
      <w:pPr>
        <w:pStyle w:val="Bulletsl"/>
        <w:numPr>
          <w:ilvl w:val="0"/>
          <w:numId w:val="0"/>
        </w:numPr>
        <w:spacing w:line="276" w:lineRule="auto"/>
        <w:rPr>
          <w:sz w:val="22"/>
          <w:szCs w:val="22"/>
        </w:rPr>
      </w:pPr>
      <w:r w:rsidRPr="000162FC">
        <w:rPr>
          <w:bCs/>
          <w:sz w:val="22"/>
          <w:szCs w:val="22"/>
        </w:rPr>
        <w:t>____8.</w:t>
      </w:r>
      <w:r w:rsidRPr="000162FC">
        <w:rPr>
          <w:b/>
          <w:bCs/>
          <w:sz w:val="22"/>
          <w:szCs w:val="22"/>
        </w:rPr>
        <w:t xml:space="preserve"> FH/EEOC </w:t>
      </w:r>
      <w:proofErr w:type="gramStart"/>
      <w:r w:rsidR="0024475D" w:rsidRPr="000162FC">
        <w:rPr>
          <w:sz w:val="22"/>
          <w:szCs w:val="22"/>
        </w:rPr>
        <w:t>In</w:t>
      </w:r>
      <w:proofErr w:type="gramEnd"/>
      <w:r w:rsidR="0024475D" w:rsidRPr="000162FC">
        <w:rPr>
          <w:sz w:val="22"/>
          <w:szCs w:val="22"/>
        </w:rPr>
        <w:t xml:space="preserve"> several laws passed after Title VII, Congress discussed discrimination based on gender identity but did not amend Title VII to include transgender individuals as a protected class. </w:t>
      </w:r>
    </w:p>
    <w:p w14:paraId="6078D504" w14:textId="1DF7B713" w:rsidR="000162FC" w:rsidRPr="000162FC" w:rsidRDefault="000162FC" w:rsidP="000162FC">
      <w:pPr>
        <w:pStyle w:val="Bulletsl"/>
        <w:numPr>
          <w:ilvl w:val="0"/>
          <w:numId w:val="0"/>
        </w:numPr>
        <w:spacing w:line="276" w:lineRule="auto"/>
        <w:rPr>
          <w:sz w:val="22"/>
          <w:szCs w:val="22"/>
        </w:rPr>
      </w:pPr>
      <w:r w:rsidRPr="000162FC">
        <w:rPr>
          <w:bCs/>
          <w:sz w:val="22"/>
          <w:szCs w:val="22"/>
        </w:rPr>
        <w:t>____9.</w:t>
      </w:r>
      <w:r w:rsidRPr="000162FC">
        <w:rPr>
          <w:b/>
          <w:bCs/>
          <w:sz w:val="22"/>
          <w:szCs w:val="22"/>
        </w:rPr>
        <w:t xml:space="preserve"> FH/EEOC </w:t>
      </w:r>
      <w:r w:rsidRPr="000162FC">
        <w:rPr>
          <w:sz w:val="22"/>
          <w:szCs w:val="22"/>
        </w:rPr>
        <w:t>Stephens was fired because she is transgender for two reasons: (1) she was assigned a male sex at birth and (2) she intended to live openly as a female. Therefore, sex was the reason for her firing. If she was assigned a female sex at birth and was living openly as a woman, the petitioner would not have fired her.</w:t>
      </w:r>
    </w:p>
    <w:p w14:paraId="0F991E32" w14:textId="36188D54" w:rsidR="000162FC" w:rsidRPr="000162FC" w:rsidRDefault="000162FC" w:rsidP="000162FC">
      <w:pPr>
        <w:pStyle w:val="Bulletsl"/>
        <w:numPr>
          <w:ilvl w:val="0"/>
          <w:numId w:val="0"/>
        </w:numPr>
        <w:spacing w:line="276" w:lineRule="auto"/>
        <w:rPr>
          <w:sz w:val="22"/>
          <w:szCs w:val="22"/>
        </w:rPr>
      </w:pPr>
      <w:r w:rsidRPr="000162FC">
        <w:rPr>
          <w:bCs/>
          <w:sz w:val="22"/>
          <w:szCs w:val="22"/>
        </w:rPr>
        <w:t>____10.</w:t>
      </w:r>
      <w:r w:rsidRPr="000162FC">
        <w:rPr>
          <w:b/>
          <w:bCs/>
          <w:sz w:val="22"/>
          <w:szCs w:val="22"/>
        </w:rPr>
        <w:t xml:space="preserve"> FH/EEOC </w:t>
      </w:r>
      <w:r w:rsidRPr="000162FC">
        <w:rPr>
          <w:sz w:val="22"/>
          <w:szCs w:val="22"/>
        </w:rPr>
        <w:t xml:space="preserve">Even if Stephens’s sex was not the only reason she was fired, it was still a motivating factor. As long as Stephens shows that she would have been treated differently if her sex was different, she has shown that sex caused her firing under Title VII. </w:t>
      </w:r>
    </w:p>
    <w:p w14:paraId="26F4ECE3" w14:textId="6B82D562" w:rsidR="006A6078" w:rsidRPr="000162FC" w:rsidRDefault="000162FC" w:rsidP="000162FC">
      <w:pPr>
        <w:pStyle w:val="Bulletsl"/>
        <w:numPr>
          <w:ilvl w:val="0"/>
          <w:numId w:val="0"/>
        </w:numPr>
        <w:spacing w:line="276" w:lineRule="auto"/>
        <w:rPr>
          <w:sz w:val="22"/>
          <w:szCs w:val="22"/>
        </w:rPr>
      </w:pPr>
      <w:r w:rsidRPr="000162FC">
        <w:rPr>
          <w:bCs/>
          <w:sz w:val="22"/>
          <w:szCs w:val="22"/>
        </w:rPr>
        <w:t>____11.</w:t>
      </w:r>
      <w:r w:rsidRPr="000162FC">
        <w:rPr>
          <w:b/>
          <w:bCs/>
          <w:sz w:val="22"/>
          <w:szCs w:val="22"/>
        </w:rPr>
        <w:t xml:space="preserve"> FH/EEOC </w:t>
      </w:r>
      <w:r w:rsidR="0024475D" w:rsidRPr="000162FC">
        <w:rPr>
          <w:sz w:val="22"/>
          <w:szCs w:val="22"/>
        </w:rPr>
        <w:t>Sex stereotyping can only be used as evidence that sex played a significant part in the employer’s decision-making. If the employer would have made the same decision if they had not considered the employee’s sex, then the action is not sex-based discrimination.</w:t>
      </w:r>
      <w:r w:rsidR="00C74FFF" w:rsidRPr="000162FC">
        <w:rPr>
          <w:sz w:val="22"/>
          <w:szCs w:val="22"/>
        </w:rPr>
        <w:t xml:space="preserve"> </w:t>
      </w:r>
    </w:p>
    <w:p w14:paraId="6D1A4CD0" w14:textId="16998241" w:rsidR="00287D93" w:rsidRPr="000162FC" w:rsidRDefault="000162FC" w:rsidP="000162FC">
      <w:pPr>
        <w:pStyle w:val="Bulletsl"/>
        <w:numPr>
          <w:ilvl w:val="0"/>
          <w:numId w:val="0"/>
        </w:numPr>
        <w:spacing w:line="276" w:lineRule="auto"/>
        <w:rPr>
          <w:sz w:val="22"/>
          <w:szCs w:val="22"/>
        </w:rPr>
      </w:pPr>
      <w:r w:rsidRPr="000162FC">
        <w:rPr>
          <w:bCs/>
          <w:sz w:val="22"/>
          <w:szCs w:val="22"/>
        </w:rPr>
        <w:t>____12.</w:t>
      </w:r>
      <w:r w:rsidRPr="000162FC">
        <w:rPr>
          <w:b/>
          <w:bCs/>
          <w:sz w:val="22"/>
          <w:szCs w:val="22"/>
        </w:rPr>
        <w:t xml:space="preserve"> FH/EEOC </w:t>
      </w:r>
      <w:r w:rsidR="0024475D" w:rsidRPr="000162FC">
        <w:rPr>
          <w:sz w:val="22"/>
          <w:szCs w:val="22"/>
        </w:rPr>
        <w:t>If the Court rules that the word “sex” in Title VII protects employees from discrimination based on gender identity and sexual orientation, there will be legal implications for employment law, lower privacy protections (in restrooms, shelters, etc.), and reduced equal opportunities for women in areas such as sports.</w:t>
      </w:r>
    </w:p>
    <w:sectPr w:rsidR="00287D93" w:rsidRPr="000162FC" w:rsidSect="000162FC">
      <w:headerReference w:type="default" r:id="rId11"/>
      <w:footerReference w:type="default" r:id="rId12"/>
      <w:headerReference w:type="first" r:id="rId13"/>
      <w:footerReference w:type="first" r:id="rId14"/>
      <w:pgSz w:w="12240" w:h="15840"/>
      <w:pgMar w:top="900" w:right="450" w:bottom="630" w:left="5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A5DF" w14:textId="77777777" w:rsidR="004E567B" w:rsidRDefault="004E567B">
      <w:pPr>
        <w:spacing w:after="0"/>
      </w:pPr>
      <w:r>
        <w:separator/>
      </w:r>
    </w:p>
  </w:endnote>
  <w:endnote w:type="continuationSeparator" w:id="0">
    <w:p w14:paraId="50B0AB30" w14:textId="77777777" w:rsidR="004E567B" w:rsidRDefault="004E5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34"/>
      <w:docPartObj>
        <w:docPartGallery w:val="Page Numbers (Bottom of Page)"/>
        <w:docPartUnique/>
      </w:docPartObj>
    </w:sdtPr>
    <w:sdtEndPr>
      <w:rPr>
        <w:noProof/>
      </w:rPr>
    </w:sdtEndPr>
    <w:sdtContent>
      <w:p w14:paraId="36BCD525" w14:textId="18DF86DC" w:rsidR="0078549D" w:rsidRPr="0078549D" w:rsidRDefault="0024475D">
        <w:pPr>
          <w:pStyle w:val="Footer"/>
        </w:pPr>
        <w:r w:rsidRPr="008A3806">
          <w:rPr>
            <w:rFonts w:cstheme="minorHAnsi"/>
          </w:rPr>
          <w:t>©</w:t>
        </w:r>
        <w:r>
          <w:t xml:space="preserve"> 201</w:t>
        </w:r>
        <w:r w:rsidR="0005649C">
          <w:t>9</w:t>
        </w:r>
        <w:r>
          <w:t xml:space="preserve"> Street Law, Inc.</w:t>
        </w:r>
        <w:r>
          <w:tab/>
        </w:r>
        <w:r>
          <w:tab/>
          <w:t xml:space="preserve"> </w:t>
        </w:r>
        <w:r w:rsidRPr="008A3806">
          <w:fldChar w:fldCharType="begin"/>
        </w:r>
        <w:r w:rsidRPr="008A3806">
          <w:instrText xml:space="preserve"> PAGE   \* MERGEFORMAT </w:instrText>
        </w:r>
        <w:r w:rsidRPr="008A3806">
          <w:fldChar w:fldCharType="separate"/>
        </w:r>
        <w:r>
          <w:rPr>
            <w:noProof/>
          </w:rPr>
          <w:t>2</w:t>
        </w:r>
        <w:r w:rsidRPr="008A38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1322"/>
      <w:docPartObj>
        <w:docPartGallery w:val="Page Numbers (Bottom of Page)"/>
        <w:docPartUnique/>
      </w:docPartObj>
    </w:sdtPr>
    <w:sdtEndPr>
      <w:rPr>
        <w:noProof/>
      </w:rPr>
    </w:sdtEndPr>
    <w:sdtContent>
      <w:p w14:paraId="2604C68A" w14:textId="46F57FEA" w:rsidR="00F42CDF" w:rsidRDefault="0024475D">
        <w:pPr>
          <w:pStyle w:val="Footer"/>
          <w:rPr>
            <w:noProof/>
          </w:rPr>
        </w:pPr>
        <w:r w:rsidRPr="008A3806">
          <w:rPr>
            <w:rFonts w:cstheme="minorHAnsi"/>
          </w:rPr>
          <w:t>©</w:t>
        </w:r>
        <w:r>
          <w:t xml:space="preserve"> 2019 Street Law, Inc.</w:t>
        </w:r>
        <w:r>
          <w:tab/>
        </w:r>
        <w:r>
          <w:tab/>
          <w:t xml:space="preserve"> </w:t>
        </w:r>
        <w:r w:rsidR="00CB2B3C">
          <w:t>Last updated: 12-19-2019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327D" w14:textId="77777777" w:rsidR="004E567B" w:rsidRDefault="004E567B">
      <w:pPr>
        <w:spacing w:after="0"/>
      </w:pPr>
      <w:r>
        <w:separator/>
      </w:r>
    </w:p>
  </w:footnote>
  <w:footnote w:type="continuationSeparator" w:id="0">
    <w:p w14:paraId="67D3A08B" w14:textId="77777777" w:rsidR="004E567B" w:rsidRDefault="004E56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348F" w14:textId="5CB232FC" w:rsidR="0078549D" w:rsidRPr="00F42CDF" w:rsidRDefault="0024475D" w:rsidP="0078549D">
    <w:pPr>
      <w:pStyle w:val="Header"/>
      <w:jc w:val="right"/>
      <w:rPr>
        <w:i/>
      </w:rPr>
    </w:pPr>
    <w:r w:rsidRPr="00F42CDF">
      <w:rPr>
        <w:i/>
        <w:noProof/>
      </w:rPr>
      <mc:AlternateContent>
        <mc:Choice Requires="wps">
          <w:drawing>
            <wp:anchor distT="0" distB="0" distL="114300" distR="114300" simplePos="0" relativeHeight="251658240" behindDoc="0" locked="0" layoutInCell="1" allowOverlap="1" wp14:anchorId="7EFDA0AE" wp14:editId="630A2819">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E5BE0E" w14:textId="77777777" w:rsidR="0078549D" w:rsidRDefault="0024475D" w:rsidP="0078549D">
                          <w:r>
                            <w:rPr>
                              <w:noProof/>
                            </w:rPr>
                            <w:drawing>
                              <wp:inline distT="0" distB="0" distL="0" distR="0" wp14:anchorId="29E4FE9E" wp14:editId="5108C3A5">
                                <wp:extent cx="1718310" cy="445135"/>
                                <wp:effectExtent l="0" t="0" r="0" b="0"/>
                                <wp:docPr id="973125517" name="Picture 97312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7EFDA0AE"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" filled="f" stroked="f" strokeweight=".5pt">
              <v:textbox>
                <w:txbxContent>
                  <w:p w14:paraId="23E5BE0E" w14:textId="77777777" w:rsidR="0078549D" w:rsidRDefault="0024475D" w:rsidP="0078549D">
                    <w:r>
                      <w:rPr>
                        <w:noProof/>
                      </w:rPr>
                      <w:drawing>
                        <wp:inline distT="0" distB="0" distL="0" distR="0" wp14:anchorId="29E4FE9E" wp14:editId="5108C3A5">
                          <wp:extent cx="1718310" cy="445135"/>
                          <wp:effectExtent l="0" t="0" r="0" b="0"/>
                          <wp:docPr id="973125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R.G. &amp; G.R. Harris Funeral Homes, Inc. v. E</w:t>
    </w:r>
    <w:r w:rsidR="00662E0B">
      <w:rPr>
        <w:i/>
      </w:rPr>
      <w:t>EOC and Aimee Stephens</w:t>
    </w:r>
  </w:p>
  <w:p w14:paraId="22EB2738" w14:textId="77777777" w:rsidR="0078549D" w:rsidRDefault="004E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031A" w14:textId="77777777" w:rsidR="00F42CDF" w:rsidRPr="008A3806" w:rsidRDefault="0024475D" w:rsidP="00F42CDF">
    <w:pPr>
      <w:pStyle w:val="Header"/>
      <w:jc w:val="right"/>
    </w:pPr>
    <w:r w:rsidRPr="008A3806">
      <w:rPr>
        <w:noProof/>
      </w:rPr>
      <mc:AlternateContent>
        <mc:Choice Requires="wps">
          <w:drawing>
            <wp:anchor distT="0" distB="0" distL="114300" distR="114300" simplePos="0" relativeHeight="251660288" behindDoc="0" locked="0" layoutInCell="1" allowOverlap="1" wp14:anchorId="17B12EB6" wp14:editId="2347664C">
              <wp:simplePos x="0" y="0"/>
              <wp:positionH relativeFrom="column">
                <wp:posOffset>-209549</wp:posOffset>
              </wp:positionH>
              <wp:positionV relativeFrom="paragraph">
                <wp:posOffset>-171450</wp:posOffset>
              </wp:positionV>
              <wp:extent cx="1813560" cy="5073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813560"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49EF44" w14:textId="77777777" w:rsidR="00F42CDF" w:rsidRDefault="0024475D" w:rsidP="00F42CDF">
                          <w:r>
                            <w:rPr>
                              <w:noProof/>
                            </w:rPr>
                            <w:drawing>
                              <wp:inline distT="0" distB="0" distL="0" distR="0" wp14:anchorId="58467F62" wp14:editId="2391C8C4">
                                <wp:extent cx="1718310" cy="445135"/>
                                <wp:effectExtent l="0" t="0" r="0" b="0"/>
                                <wp:docPr id="973125518" name="Picture 97312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17B12EB6" id="_x0000_t202" coordsize="21600,21600" o:spt="202" path="m,l,21600r21600,l21600,xe">
              <v:stroke joinstyle="miter"/>
              <v:path gradientshapeok="t" o:connecttype="rect"/>
            </v:shapetype>
            <v:shape id="Text Box 3" o:spid="_x0000_s1027" type="#_x0000_t202" style="position:absolute;left:0;text-align:left;margin-left:-16.5pt;margin-top:-13.5pt;width:142.8pt;height:39.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" filled="f" stroked="f" strokeweight=".5pt">
              <v:textbox>
                <w:txbxContent>
                  <w:p w14:paraId="3349EF44" w14:textId="77777777" w:rsidR="00F42CDF" w:rsidRDefault="0024475D" w:rsidP="00F42CDF">
                    <w:r>
                      <w:rPr>
                        <w:noProof/>
                      </w:rPr>
                      <w:drawing>
                        <wp:inline distT="0" distB="0" distL="0" distR="0" wp14:anchorId="58467F62" wp14:editId="2391C8C4">
                          <wp:extent cx="1718310" cy="445135"/>
                          <wp:effectExtent l="0" t="0" r="0" b="0"/>
                          <wp:docPr id="973125518" name="Picture 97312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3229E5B9" w14:textId="77777777" w:rsidR="00B91534" w:rsidRDefault="004E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D67"/>
    <w:multiLevelType w:val="hybridMultilevel"/>
    <w:tmpl w:val="F340628E"/>
    <w:lvl w:ilvl="0" w:tplc="6A781F26">
      <w:numFmt w:val="bullet"/>
      <w:lvlText w:val="-"/>
      <w:lvlJc w:val="left"/>
      <w:pPr>
        <w:ind w:left="720" w:hanging="360"/>
      </w:pPr>
      <w:rPr>
        <w:rFonts w:ascii="Garamond" w:eastAsiaTheme="minorHAnsi" w:hAnsi="Garamond" w:cstheme="minorBidi" w:hint="default"/>
        <w:b/>
      </w:rPr>
    </w:lvl>
    <w:lvl w:ilvl="1" w:tplc="749E2D18" w:tentative="1">
      <w:start w:val="1"/>
      <w:numFmt w:val="bullet"/>
      <w:lvlText w:val="o"/>
      <w:lvlJc w:val="left"/>
      <w:pPr>
        <w:ind w:left="1440" w:hanging="360"/>
      </w:pPr>
      <w:rPr>
        <w:rFonts w:ascii="Courier New" w:hAnsi="Courier New" w:cs="Courier New" w:hint="default"/>
      </w:rPr>
    </w:lvl>
    <w:lvl w:ilvl="2" w:tplc="74A2EF3A" w:tentative="1">
      <w:start w:val="1"/>
      <w:numFmt w:val="bullet"/>
      <w:lvlText w:val=""/>
      <w:lvlJc w:val="left"/>
      <w:pPr>
        <w:ind w:left="2160" w:hanging="360"/>
      </w:pPr>
      <w:rPr>
        <w:rFonts w:ascii="Wingdings" w:hAnsi="Wingdings" w:hint="default"/>
      </w:rPr>
    </w:lvl>
    <w:lvl w:ilvl="3" w:tplc="3626A890" w:tentative="1">
      <w:start w:val="1"/>
      <w:numFmt w:val="bullet"/>
      <w:lvlText w:val=""/>
      <w:lvlJc w:val="left"/>
      <w:pPr>
        <w:ind w:left="2880" w:hanging="360"/>
      </w:pPr>
      <w:rPr>
        <w:rFonts w:ascii="Symbol" w:hAnsi="Symbol" w:hint="default"/>
      </w:rPr>
    </w:lvl>
    <w:lvl w:ilvl="4" w:tplc="468CC42C" w:tentative="1">
      <w:start w:val="1"/>
      <w:numFmt w:val="bullet"/>
      <w:lvlText w:val="o"/>
      <w:lvlJc w:val="left"/>
      <w:pPr>
        <w:ind w:left="3600" w:hanging="360"/>
      </w:pPr>
      <w:rPr>
        <w:rFonts w:ascii="Courier New" w:hAnsi="Courier New" w:cs="Courier New" w:hint="default"/>
      </w:rPr>
    </w:lvl>
    <w:lvl w:ilvl="5" w:tplc="73A621E0" w:tentative="1">
      <w:start w:val="1"/>
      <w:numFmt w:val="bullet"/>
      <w:lvlText w:val=""/>
      <w:lvlJc w:val="left"/>
      <w:pPr>
        <w:ind w:left="4320" w:hanging="360"/>
      </w:pPr>
      <w:rPr>
        <w:rFonts w:ascii="Wingdings" w:hAnsi="Wingdings" w:hint="default"/>
      </w:rPr>
    </w:lvl>
    <w:lvl w:ilvl="6" w:tplc="E1984714" w:tentative="1">
      <w:start w:val="1"/>
      <w:numFmt w:val="bullet"/>
      <w:lvlText w:val=""/>
      <w:lvlJc w:val="left"/>
      <w:pPr>
        <w:ind w:left="5040" w:hanging="360"/>
      </w:pPr>
      <w:rPr>
        <w:rFonts w:ascii="Symbol" w:hAnsi="Symbol" w:hint="default"/>
      </w:rPr>
    </w:lvl>
    <w:lvl w:ilvl="7" w:tplc="3CBC4162" w:tentative="1">
      <w:start w:val="1"/>
      <w:numFmt w:val="bullet"/>
      <w:lvlText w:val="o"/>
      <w:lvlJc w:val="left"/>
      <w:pPr>
        <w:ind w:left="5760" w:hanging="360"/>
      </w:pPr>
      <w:rPr>
        <w:rFonts w:ascii="Courier New" w:hAnsi="Courier New" w:cs="Courier New" w:hint="default"/>
      </w:rPr>
    </w:lvl>
    <w:lvl w:ilvl="8" w:tplc="DC72C1A0" w:tentative="1">
      <w:start w:val="1"/>
      <w:numFmt w:val="bullet"/>
      <w:lvlText w:val=""/>
      <w:lvlJc w:val="left"/>
      <w:pPr>
        <w:ind w:left="6480" w:hanging="360"/>
      </w:pPr>
      <w:rPr>
        <w:rFonts w:ascii="Wingdings" w:hAnsi="Wingdings" w:hint="default"/>
      </w:rPr>
    </w:lvl>
  </w:abstractNum>
  <w:abstractNum w:abstractNumId="1" w15:restartNumberingAfterBreak="0">
    <w:nsid w:val="0C3E5AE4"/>
    <w:multiLevelType w:val="hybridMultilevel"/>
    <w:tmpl w:val="4B8ED93C"/>
    <w:lvl w:ilvl="0" w:tplc="7466CEC2">
      <w:start w:val="1"/>
      <w:numFmt w:val="bullet"/>
      <w:lvlText w:val=""/>
      <w:lvlJc w:val="left"/>
      <w:pPr>
        <w:ind w:left="720" w:hanging="360"/>
      </w:pPr>
      <w:rPr>
        <w:rFonts w:ascii="Symbol" w:hAnsi="Symbol" w:hint="default"/>
      </w:rPr>
    </w:lvl>
    <w:lvl w:ilvl="1" w:tplc="8168F46C" w:tentative="1">
      <w:start w:val="1"/>
      <w:numFmt w:val="bullet"/>
      <w:lvlText w:val="o"/>
      <w:lvlJc w:val="left"/>
      <w:pPr>
        <w:ind w:left="1440" w:hanging="360"/>
      </w:pPr>
      <w:rPr>
        <w:rFonts w:ascii="Courier New" w:hAnsi="Courier New" w:cs="Courier New" w:hint="default"/>
      </w:rPr>
    </w:lvl>
    <w:lvl w:ilvl="2" w:tplc="81FC4022" w:tentative="1">
      <w:start w:val="1"/>
      <w:numFmt w:val="bullet"/>
      <w:lvlText w:val=""/>
      <w:lvlJc w:val="left"/>
      <w:pPr>
        <w:ind w:left="2160" w:hanging="360"/>
      </w:pPr>
      <w:rPr>
        <w:rFonts w:ascii="Wingdings" w:hAnsi="Wingdings" w:hint="default"/>
      </w:rPr>
    </w:lvl>
    <w:lvl w:ilvl="3" w:tplc="D6E81F80" w:tentative="1">
      <w:start w:val="1"/>
      <w:numFmt w:val="bullet"/>
      <w:lvlText w:val=""/>
      <w:lvlJc w:val="left"/>
      <w:pPr>
        <w:ind w:left="2880" w:hanging="360"/>
      </w:pPr>
      <w:rPr>
        <w:rFonts w:ascii="Symbol" w:hAnsi="Symbol" w:hint="default"/>
      </w:rPr>
    </w:lvl>
    <w:lvl w:ilvl="4" w:tplc="E4040A80" w:tentative="1">
      <w:start w:val="1"/>
      <w:numFmt w:val="bullet"/>
      <w:lvlText w:val="o"/>
      <w:lvlJc w:val="left"/>
      <w:pPr>
        <w:ind w:left="3600" w:hanging="360"/>
      </w:pPr>
      <w:rPr>
        <w:rFonts w:ascii="Courier New" w:hAnsi="Courier New" w:cs="Courier New" w:hint="default"/>
      </w:rPr>
    </w:lvl>
    <w:lvl w:ilvl="5" w:tplc="140C6C7C" w:tentative="1">
      <w:start w:val="1"/>
      <w:numFmt w:val="bullet"/>
      <w:lvlText w:val=""/>
      <w:lvlJc w:val="left"/>
      <w:pPr>
        <w:ind w:left="4320" w:hanging="360"/>
      </w:pPr>
      <w:rPr>
        <w:rFonts w:ascii="Wingdings" w:hAnsi="Wingdings" w:hint="default"/>
      </w:rPr>
    </w:lvl>
    <w:lvl w:ilvl="6" w:tplc="460482EE" w:tentative="1">
      <w:start w:val="1"/>
      <w:numFmt w:val="bullet"/>
      <w:lvlText w:val=""/>
      <w:lvlJc w:val="left"/>
      <w:pPr>
        <w:ind w:left="5040" w:hanging="360"/>
      </w:pPr>
      <w:rPr>
        <w:rFonts w:ascii="Symbol" w:hAnsi="Symbol" w:hint="default"/>
      </w:rPr>
    </w:lvl>
    <w:lvl w:ilvl="7" w:tplc="77FEAB62" w:tentative="1">
      <w:start w:val="1"/>
      <w:numFmt w:val="bullet"/>
      <w:lvlText w:val="o"/>
      <w:lvlJc w:val="left"/>
      <w:pPr>
        <w:ind w:left="5760" w:hanging="360"/>
      </w:pPr>
      <w:rPr>
        <w:rFonts w:ascii="Courier New" w:hAnsi="Courier New" w:cs="Courier New" w:hint="default"/>
      </w:rPr>
    </w:lvl>
    <w:lvl w:ilvl="8" w:tplc="76FE7052" w:tentative="1">
      <w:start w:val="1"/>
      <w:numFmt w:val="bullet"/>
      <w:lvlText w:val=""/>
      <w:lvlJc w:val="left"/>
      <w:pPr>
        <w:ind w:left="6480" w:hanging="360"/>
      </w:pPr>
      <w:rPr>
        <w:rFonts w:ascii="Wingdings" w:hAnsi="Wingdings" w:hint="default"/>
      </w:rPr>
    </w:lvl>
  </w:abstractNum>
  <w:abstractNum w:abstractNumId="2" w15:restartNumberingAfterBreak="0">
    <w:nsid w:val="143E3AB7"/>
    <w:multiLevelType w:val="hybridMultilevel"/>
    <w:tmpl w:val="8BB4DAB4"/>
    <w:lvl w:ilvl="0" w:tplc="148CAAB4">
      <w:start w:val="1"/>
      <w:numFmt w:val="bullet"/>
      <w:lvlText w:val=""/>
      <w:lvlJc w:val="left"/>
      <w:pPr>
        <w:ind w:left="720" w:hanging="360"/>
      </w:pPr>
      <w:rPr>
        <w:rFonts w:ascii="Symbol" w:hAnsi="Symbol" w:hint="default"/>
      </w:rPr>
    </w:lvl>
    <w:lvl w:ilvl="1" w:tplc="2C181B34">
      <w:start w:val="1"/>
      <w:numFmt w:val="bullet"/>
      <w:lvlText w:val=""/>
      <w:lvlJc w:val="left"/>
      <w:pPr>
        <w:ind w:left="1440" w:hanging="360"/>
      </w:pPr>
      <w:rPr>
        <w:rFonts w:ascii="Symbol" w:hAnsi="Symbol" w:hint="default"/>
      </w:rPr>
    </w:lvl>
    <w:lvl w:ilvl="2" w:tplc="D8B65618" w:tentative="1">
      <w:start w:val="1"/>
      <w:numFmt w:val="bullet"/>
      <w:lvlText w:val=""/>
      <w:lvlJc w:val="left"/>
      <w:pPr>
        <w:ind w:left="2160" w:hanging="360"/>
      </w:pPr>
      <w:rPr>
        <w:rFonts w:ascii="Wingdings" w:hAnsi="Wingdings" w:hint="default"/>
      </w:rPr>
    </w:lvl>
    <w:lvl w:ilvl="3" w:tplc="55B8FCB0" w:tentative="1">
      <w:start w:val="1"/>
      <w:numFmt w:val="bullet"/>
      <w:lvlText w:val=""/>
      <w:lvlJc w:val="left"/>
      <w:pPr>
        <w:ind w:left="2880" w:hanging="360"/>
      </w:pPr>
      <w:rPr>
        <w:rFonts w:ascii="Symbol" w:hAnsi="Symbol" w:hint="default"/>
      </w:rPr>
    </w:lvl>
    <w:lvl w:ilvl="4" w:tplc="6DEC7AA8" w:tentative="1">
      <w:start w:val="1"/>
      <w:numFmt w:val="bullet"/>
      <w:lvlText w:val="o"/>
      <w:lvlJc w:val="left"/>
      <w:pPr>
        <w:ind w:left="3600" w:hanging="360"/>
      </w:pPr>
      <w:rPr>
        <w:rFonts w:ascii="Courier New" w:hAnsi="Courier New" w:cs="Courier New" w:hint="default"/>
      </w:rPr>
    </w:lvl>
    <w:lvl w:ilvl="5" w:tplc="DD04A4A6" w:tentative="1">
      <w:start w:val="1"/>
      <w:numFmt w:val="bullet"/>
      <w:lvlText w:val=""/>
      <w:lvlJc w:val="left"/>
      <w:pPr>
        <w:ind w:left="4320" w:hanging="360"/>
      </w:pPr>
      <w:rPr>
        <w:rFonts w:ascii="Wingdings" w:hAnsi="Wingdings" w:hint="default"/>
      </w:rPr>
    </w:lvl>
    <w:lvl w:ilvl="6" w:tplc="2778965C" w:tentative="1">
      <w:start w:val="1"/>
      <w:numFmt w:val="bullet"/>
      <w:lvlText w:val=""/>
      <w:lvlJc w:val="left"/>
      <w:pPr>
        <w:ind w:left="5040" w:hanging="360"/>
      </w:pPr>
      <w:rPr>
        <w:rFonts w:ascii="Symbol" w:hAnsi="Symbol" w:hint="default"/>
      </w:rPr>
    </w:lvl>
    <w:lvl w:ilvl="7" w:tplc="F6EC8650" w:tentative="1">
      <w:start w:val="1"/>
      <w:numFmt w:val="bullet"/>
      <w:lvlText w:val="o"/>
      <w:lvlJc w:val="left"/>
      <w:pPr>
        <w:ind w:left="5760" w:hanging="360"/>
      </w:pPr>
      <w:rPr>
        <w:rFonts w:ascii="Courier New" w:hAnsi="Courier New" w:cs="Courier New" w:hint="default"/>
      </w:rPr>
    </w:lvl>
    <w:lvl w:ilvl="8" w:tplc="1D1E923E" w:tentative="1">
      <w:start w:val="1"/>
      <w:numFmt w:val="bullet"/>
      <w:lvlText w:val=""/>
      <w:lvlJc w:val="left"/>
      <w:pPr>
        <w:ind w:left="6480" w:hanging="360"/>
      </w:pPr>
      <w:rPr>
        <w:rFonts w:ascii="Wingdings" w:hAnsi="Wingdings" w:hint="default"/>
      </w:rPr>
    </w:lvl>
  </w:abstractNum>
  <w:abstractNum w:abstractNumId="3" w15:restartNumberingAfterBreak="0">
    <w:nsid w:val="149A00CD"/>
    <w:multiLevelType w:val="hybridMultilevel"/>
    <w:tmpl w:val="45649D56"/>
    <w:lvl w:ilvl="0" w:tplc="E21C11B4">
      <w:start w:val="1"/>
      <w:numFmt w:val="decimal"/>
      <w:pStyle w:val="Numberedlistsl"/>
      <w:lvlText w:val="%1."/>
      <w:lvlJc w:val="left"/>
      <w:pPr>
        <w:ind w:left="1440" w:hanging="360"/>
      </w:pPr>
    </w:lvl>
    <w:lvl w:ilvl="1" w:tplc="86B41654" w:tentative="1">
      <w:start w:val="1"/>
      <w:numFmt w:val="lowerLetter"/>
      <w:lvlText w:val="%2."/>
      <w:lvlJc w:val="left"/>
      <w:pPr>
        <w:ind w:left="2160" w:hanging="360"/>
      </w:pPr>
    </w:lvl>
    <w:lvl w:ilvl="2" w:tplc="E0362B3C" w:tentative="1">
      <w:start w:val="1"/>
      <w:numFmt w:val="lowerRoman"/>
      <w:lvlText w:val="%3."/>
      <w:lvlJc w:val="right"/>
      <w:pPr>
        <w:ind w:left="2880" w:hanging="180"/>
      </w:pPr>
    </w:lvl>
    <w:lvl w:ilvl="3" w:tplc="F0AEC444" w:tentative="1">
      <w:start w:val="1"/>
      <w:numFmt w:val="decimal"/>
      <w:lvlText w:val="%4."/>
      <w:lvlJc w:val="left"/>
      <w:pPr>
        <w:ind w:left="3600" w:hanging="360"/>
      </w:pPr>
    </w:lvl>
    <w:lvl w:ilvl="4" w:tplc="08B44300" w:tentative="1">
      <w:start w:val="1"/>
      <w:numFmt w:val="lowerLetter"/>
      <w:lvlText w:val="%5."/>
      <w:lvlJc w:val="left"/>
      <w:pPr>
        <w:ind w:left="4320" w:hanging="360"/>
      </w:pPr>
    </w:lvl>
    <w:lvl w:ilvl="5" w:tplc="B7E6AB9E" w:tentative="1">
      <w:start w:val="1"/>
      <w:numFmt w:val="lowerRoman"/>
      <w:lvlText w:val="%6."/>
      <w:lvlJc w:val="right"/>
      <w:pPr>
        <w:ind w:left="5040" w:hanging="180"/>
      </w:pPr>
    </w:lvl>
    <w:lvl w:ilvl="6" w:tplc="48A68EFA" w:tentative="1">
      <w:start w:val="1"/>
      <w:numFmt w:val="decimal"/>
      <w:lvlText w:val="%7."/>
      <w:lvlJc w:val="left"/>
      <w:pPr>
        <w:ind w:left="5760" w:hanging="360"/>
      </w:pPr>
    </w:lvl>
    <w:lvl w:ilvl="7" w:tplc="966AF05A" w:tentative="1">
      <w:start w:val="1"/>
      <w:numFmt w:val="lowerLetter"/>
      <w:lvlText w:val="%8."/>
      <w:lvlJc w:val="left"/>
      <w:pPr>
        <w:ind w:left="6480" w:hanging="360"/>
      </w:pPr>
    </w:lvl>
    <w:lvl w:ilvl="8" w:tplc="600048F8" w:tentative="1">
      <w:start w:val="1"/>
      <w:numFmt w:val="lowerRoman"/>
      <w:lvlText w:val="%9."/>
      <w:lvlJc w:val="right"/>
      <w:pPr>
        <w:ind w:left="7200" w:hanging="180"/>
      </w:pPr>
    </w:lvl>
  </w:abstractNum>
  <w:abstractNum w:abstractNumId="4" w15:restartNumberingAfterBreak="0">
    <w:nsid w:val="173B5BBB"/>
    <w:multiLevelType w:val="hybridMultilevel"/>
    <w:tmpl w:val="BCBE6B80"/>
    <w:lvl w:ilvl="0" w:tplc="5A92FE9C">
      <w:start w:val="1"/>
      <w:numFmt w:val="bullet"/>
      <w:lvlText w:val=""/>
      <w:lvlJc w:val="left"/>
      <w:pPr>
        <w:ind w:left="720" w:hanging="360"/>
      </w:pPr>
      <w:rPr>
        <w:rFonts w:ascii="Symbol" w:hAnsi="Symbol" w:hint="default"/>
      </w:rPr>
    </w:lvl>
    <w:lvl w:ilvl="1" w:tplc="49CC6604">
      <w:start w:val="1"/>
      <w:numFmt w:val="bullet"/>
      <w:pStyle w:val="Sub-bulletsl"/>
      <w:lvlText w:val=""/>
      <w:lvlJc w:val="left"/>
      <w:pPr>
        <w:ind w:left="1440" w:hanging="360"/>
      </w:pPr>
      <w:rPr>
        <w:rFonts w:ascii="Symbol" w:hAnsi="Symbol" w:hint="default"/>
      </w:rPr>
    </w:lvl>
    <w:lvl w:ilvl="2" w:tplc="1A325D00" w:tentative="1">
      <w:start w:val="1"/>
      <w:numFmt w:val="bullet"/>
      <w:lvlText w:val=""/>
      <w:lvlJc w:val="left"/>
      <w:pPr>
        <w:ind w:left="2160" w:hanging="360"/>
      </w:pPr>
      <w:rPr>
        <w:rFonts w:ascii="Wingdings" w:hAnsi="Wingdings" w:hint="default"/>
      </w:rPr>
    </w:lvl>
    <w:lvl w:ilvl="3" w:tplc="6532C49E" w:tentative="1">
      <w:start w:val="1"/>
      <w:numFmt w:val="bullet"/>
      <w:lvlText w:val=""/>
      <w:lvlJc w:val="left"/>
      <w:pPr>
        <w:ind w:left="2880" w:hanging="360"/>
      </w:pPr>
      <w:rPr>
        <w:rFonts w:ascii="Symbol" w:hAnsi="Symbol" w:hint="default"/>
      </w:rPr>
    </w:lvl>
    <w:lvl w:ilvl="4" w:tplc="66FA0BA2" w:tentative="1">
      <w:start w:val="1"/>
      <w:numFmt w:val="bullet"/>
      <w:lvlText w:val="o"/>
      <w:lvlJc w:val="left"/>
      <w:pPr>
        <w:ind w:left="3600" w:hanging="360"/>
      </w:pPr>
      <w:rPr>
        <w:rFonts w:ascii="Courier New" w:hAnsi="Courier New" w:cs="Courier New" w:hint="default"/>
      </w:rPr>
    </w:lvl>
    <w:lvl w:ilvl="5" w:tplc="BED47BEC" w:tentative="1">
      <w:start w:val="1"/>
      <w:numFmt w:val="bullet"/>
      <w:lvlText w:val=""/>
      <w:lvlJc w:val="left"/>
      <w:pPr>
        <w:ind w:left="4320" w:hanging="360"/>
      </w:pPr>
      <w:rPr>
        <w:rFonts w:ascii="Wingdings" w:hAnsi="Wingdings" w:hint="default"/>
      </w:rPr>
    </w:lvl>
    <w:lvl w:ilvl="6" w:tplc="78F25CD4" w:tentative="1">
      <w:start w:val="1"/>
      <w:numFmt w:val="bullet"/>
      <w:lvlText w:val=""/>
      <w:lvlJc w:val="left"/>
      <w:pPr>
        <w:ind w:left="5040" w:hanging="360"/>
      </w:pPr>
      <w:rPr>
        <w:rFonts w:ascii="Symbol" w:hAnsi="Symbol" w:hint="default"/>
      </w:rPr>
    </w:lvl>
    <w:lvl w:ilvl="7" w:tplc="A55A09F4" w:tentative="1">
      <w:start w:val="1"/>
      <w:numFmt w:val="bullet"/>
      <w:lvlText w:val="o"/>
      <w:lvlJc w:val="left"/>
      <w:pPr>
        <w:ind w:left="5760" w:hanging="360"/>
      </w:pPr>
      <w:rPr>
        <w:rFonts w:ascii="Courier New" w:hAnsi="Courier New" w:cs="Courier New" w:hint="default"/>
      </w:rPr>
    </w:lvl>
    <w:lvl w:ilvl="8" w:tplc="51A230FA" w:tentative="1">
      <w:start w:val="1"/>
      <w:numFmt w:val="bullet"/>
      <w:lvlText w:val=""/>
      <w:lvlJc w:val="left"/>
      <w:pPr>
        <w:ind w:left="6480" w:hanging="360"/>
      </w:pPr>
      <w:rPr>
        <w:rFonts w:ascii="Wingdings" w:hAnsi="Wingdings" w:hint="default"/>
      </w:rPr>
    </w:lvl>
  </w:abstractNum>
  <w:abstractNum w:abstractNumId="5" w15:restartNumberingAfterBreak="0">
    <w:nsid w:val="1F82719B"/>
    <w:multiLevelType w:val="hybridMultilevel"/>
    <w:tmpl w:val="B3E27644"/>
    <w:lvl w:ilvl="0" w:tplc="5F885F8E">
      <w:start w:val="1"/>
      <w:numFmt w:val="upperRoman"/>
      <w:pStyle w:val="Outlinelevel1"/>
      <w:lvlText w:val="%1."/>
      <w:lvlJc w:val="right"/>
      <w:pPr>
        <w:ind w:left="720" w:hanging="360"/>
      </w:pPr>
    </w:lvl>
    <w:lvl w:ilvl="1" w:tplc="4FE2FF8E">
      <w:start w:val="1"/>
      <w:numFmt w:val="lowerLetter"/>
      <w:lvlText w:val="%2."/>
      <w:lvlJc w:val="left"/>
      <w:pPr>
        <w:ind w:left="1440" w:hanging="360"/>
      </w:pPr>
      <w:rPr>
        <w:b w:val="0"/>
      </w:rPr>
    </w:lvl>
    <w:lvl w:ilvl="2" w:tplc="AB346478">
      <w:start w:val="1"/>
      <w:numFmt w:val="lowerRoman"/>
      <w:lvlText w:val="%3."/>
      <w:lvlJc w:val="right"/>
      <w:pPr>
        <w:ind w:left="2070" w:hanging="180"/>
      </w:pPr>
      <w:rPr>
        <w:i w:val="0"/>
      </w:rPr>
    </w:lvl>
    <w:lvl w:ilvl="3" w:tplc="C324DC2A">
      <w:start w:val="1"/>
      <w:numFmt w:val="decimal"/>
      <w:lvlText w:val="%4."/>
      <w:lvlJc w:val="left"/>
      <w:pPr>
        <w:ind w:left="2880" w:hanging="360"/>
      </w:pPr>
    </w:lvl>
    <w:lvl w:ilvl="4" w:tplc="D8CA6DBE" w:tentative="1">
      <w:start w:val="1"/>
      <w:numFmt w:val="lowerLetter"/>
      <w:lvlText w:val="%5."/>
      <w:lvlJc w:val="left"/>
      <w:pPr>
        <w:ind w:left="3600" w:hanging="360"/>
      </w:pPr>
    </w:lvl>
    <w:lvl w:ilvl="5" w:tplc="74507EEE" w:tentative="1">
      <w:start w:val="1"/>
      <w:numFmt w:val="lowerRoman"/>
      <w:lvlText w:val="%6."/>
      <w:lvlJc w:val="right"/>
      <w:pPr>
        <w:ind w:left="4320" w:hanging="180"/>
      </w:pPr>
    </w:lvl>
    <w:lvl w:ilvl="6" w:tplc="F268397C" w:tentative="1">
      <w:start w:val="1"/>
      <w:numFmt w:val="decimal"/>
      <w:lvlText w:val="%7."/>
      <w:lvlJc w:val="left"/>
      <w:pPr>
        <w:ind w:left="5040" w:hanging="360"/>
      </w:pPr>
    </w:lvl>
    <w:lvl w:ilvl="7" w:tplc="C83E99C4" w:tentative="1">
      <w:start w:val="1"/>
      <w:numFmt w:val="lowerLetter"/>
      <w:lvlText w:val="%8."/>
      <w:lvlJc w:val="left"/>
      <w:pPr>
        <w:ind w:left="5760" w:hanging="360"/>
      </w:pPr>
    </w:lvl>
    <w:lvl w:ilvl="8" w:tplc="A3BCCAA6" w:tentative="1">
      <w:start w:val="1"/>
      <w:numFmt w:val="lowerRoman"/>
      <w:lvlText w:val="%9."/>
      <w:lvlJc w:val="right"/>
      <w:pPr>
        <w:ind w:left="6480" w:hanging="180"/>
      </w:pPr>
    </w:lvl>
  </w:abstractNum>
  <w:abstractNum w:abstractNumId="6" w15:restartNumberingAfterBreak="0">
    <w:nsid w:val="2F0646C4"/>
    <w:multiLevelType w:val="multilevel"/>
    <w:tmpl w:val="15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F280A"/>
    <w:multiLevelType w:val="hybridMultilevel"/>
    <w:tmpl w:val="610A571A"/>
    <w:lvl w:ilvl="0" w:tplc="DCE022AA">
      <w:numFmt w:val="bullet"/>
      <w:lvlText w:val="-"/>
      <w:lvlJc w:val="left"/>
      <w:pPr>
        <w:ind w:left="720" w:hanging="360"/>
      </w:pPr>
      <w:rPr>
        <w:rFonts w:ascii="Garamond" w:eastAsiaTheme="minorHAnsi" w:hAnsi="Garamond" w:cstheme="minorBidi" w:hint="default"/>
      </w:rPr>
    </w:lvl>
    <w:lvl w:ilvl="1" w:tplc="2858FC6E" w:tentative="1">
      <w:start w:val="1"/>
      <w:numFmt w:val="bullet"/>
      <w:lvlText w:val="o"/>
      <w:lvlJc w:val="left"/>
      <w:pPr>
        <w:ind w:left="1440" w:hanging="360"/>
      </w:pPr>
      <w:rPr>
        <w:rFonts w:ascii="Courier New" w:hAnsi="Courier New" w:cs="Courier New" w:hint="default"/>
      </w:rPr>
    </w:lvl>
    <w:lvl w:ilvl="2" w:tplc="D41E0466" w:tentative="1">
      <w:start w:val="1"/>
      <w:numFmt w:val="bullet"/>
      <w:lvlText w:val=""/>
      <w:lvlJc w:val="left"/>
      <w:pPr>
        <w:ind w:left="2160" w:hanging="360"/>
      </w:pPr>
      <w:rPr>
        <w:rFonts w:ascii="Wingdings" w:hAnsi="Wingdings" w:hint="default"/>
      </w:rPr>
    </w:lvl>
    <w:lvl w:ilvl="3" w:tplc="3DF2F75E" w:tentative="1">
      <w:start w:val="1"/>
      <w:numFmt w:val="bullet"/>
      <w:lvlText w:val=""/>
      <w:lvlJc w:val="left"/>
      <w:pPr>
        <w:ind w:left="2880" w:hanging="360"/>
      </w:pPr>
      <w:rPr>
        <w:rFonts w:ascii="Symbol" w:hAnsi="Symbol" w:hint="default"/>
      </w:rPr>
    </w:lvl>
    <w:lvl w:ilvl="4" w:tplc="5E7C2476" w:tentative="1">
      <w:start w:val="1"/>
      <w:numFmt w:val="bullet"/>
      <w:lvlText w:val="o"/>
      <w:lvlJc w:val="left"/>
      <w:pPr>
        <w:ind w:left="3600" w:hanging="360"/>
      </w:pPr>
      <w:rPr>
        <w:rFonts w:ascii="Courier New" w:hAnsi="Courier New" w:cs="Courier New" w:hint="default"/>
      </w:rPr>
    </w:lvl>
    <w:lvl w:ilvl="5" w:tplc="32228AD6" w:tentative="1">
      <w:start w:val="1"/>
      <w:numFmt w:val="bullet"/>
      <w:lvlText w:val=""/>
      <w:lvlJc w:val="left"/>
      <w:pPr>
        <w:ind w:left="4320" w:hanging="360"/>
      </w:pPr>
      <w:rPr>
        <w:rFonts w:ascii="Wingdings" w:hAnsi="Wingdings" w:hint="default"/>
      </w:rPr>
    </w:lvl>
    <w:lvl w:ilvl="6" w:tplc="B3FC8160" w:tentative="1">
      <w:start w:val="1"/>
      <w:numFmt w:val="bullet"/>
      <w:lvlText w:val=""/>
      <w:lvlJc w:val="left"/>
      <w:pPr>
        <w:ind w:left="5040" w:hanging="360"/>
      </w:pPr>
      <w:rPr>
        <w:rFonts w:ascii="Symbol" w:hAnsi="Symbol" w:hint="default"/>
      </w:rPr>
    </w:lvl>
    <w:lvl w:ilvl="7" w:tplc="A7921092" w:tentative="1">
      <w:start w:val="1"/>
      <w:numFmt w:val="bullet"/>
      <w:lvlText w:val="o"/>
      <w:lvlJc w:val="left"/>
      <w:pPr>
        <w:ind w:left="5760" w:hanging="360"/>
      </w:pPr>
      <w:rPr>
        <w:rFonts w:ascii="Courier New" w:hAnsi="Courier New" w:cs="Courier New" w:hint="default"/>
      </w:rPr>
    </w:lvl>
    <w:lvl w:ilvl="8" w:tplc="1592F59C" w:tentative="1">
      <w:start w:val="1"/>
      <w:numFmt w:val="bullet"/>
      <w:lvlText w:val=""/>
      <w:lvlJc w:val="left"/>
      <w:pPr>
        <w:ind w:left="6480" w:hanging="360"/>
      </w:pPr>
      <w:rPr>
        <w:rFonts w:ascii="Wingdings" w:hAnsi="Wingdings" w:hint="default"/>
      </w:rPr>
    </w:lvl>
  </w:abstractNum>
  <w:abstractNum w:abstractNumId="8" w15:restartNumberingAfterBreak="0">
    <w:nsid w:val="31640D0D"/>
    <w:multiLevelType w:val="hybridMultilevel"/>
    <w:tmpl w:val="F850CD4E"/>
    <w:lvl w:ilvl="0" w:tplc="4F6A121A">
      <w:start w:val="1"/>
      <w:numFmt w:val="bullet"/>
      <w:pStyle w:val="Bulletsl"/>
      <w:lvlText w:val=""/>
      <w:lvlJc w:val="left"/>
      <w:pPr>
        <w:ind w:left="720" w:hanging="360"/>
      </w:pPr>
      <w:rPr>
        <w:rFonts w:ascii="Symbol" w:hAnsi="Symbol" w:hint="default"/>
      </w:rPr>
    </w:lvl>
    <w:lvl w:ilvl="1" w:tplc="ED2A27FA">
      <w:start w:val="1"/>
      <w:numFmt w:val="bullet"/>
      <w:lvlText w:val="o"/>
      <w:lvlJc w:val="left"/>
      <w:pPr>
        <w:ind w:left="1440" w:hanging="360"/>
      </w:pPr>
      <w:rPr>
        <w:rFonts w:ascii="Courier New" w:hAnsi="Courier New" w:cs="Courier New" w:hint="default"/>
      </w:rPr>
    </w:lvl>
    <w:lvl w:ilvl="2" w:tplc="F300D450" w:tentative="1">
      <w:start w:val="1"/>
      <w:numFmt w:val="bullet"/>
      <w:lvlText w:val=""/>
      <w:lvlJc w:val="left"/>
      <w:pPr>
        <w:ind w:left="2160" w:hanging="360"/>
      </w:pPr>
      <w:rPr>
        <w:rFonts w:ascii="Wingdings" w:hAnsi="Wingdings" w:hint="default"/>
      </w:rPr>
    </w:lvl>
    <w:lvl w:ilvl="3" w:tplc="8BA48630" w:tentative="1">
      <w:start w:val="1"/>
      <w:numFmt w:val="bullet"/>
      <w:lvlText w:val=""/>
      <w:lvlJc w:val="left"/>
      <w:pPr>
        <w:ind w:left="2880" w:hanging="360"/>
      </w:pPr>
      <w:rPr>
        <w:rFonts w:ascii="Symbol" w:hAnsi="Symbol" w:hint="default"/>
      </w:rPr>
    </w:lvl>
    <w:lvl w:ilvl="4" w:tplc="3F1A4E76" w:tentative="1">
      <w:start w:val="1"/>
      <w:numFmt w:val="bullet"/>
      <w:lvlText w:val="o"/>
      <w:lvlJc w:val="left"/>
      <w:pPr>
        <w:ind w:left="3600" w:hanging="360"/>
      </w:pPr>
      <w:rPr>
        <w:rFonts w:ascii="Courier New" w:hAnsi="Courier New" w:cs="Courier New" w:hint="default"/>
      </w:rPr>
    </w:lvl>
    <w:lvl w:ilvl="5" w:tplc="760ADCD4" w:tentative="1">
      <w:start w:val="1"/>
      <w:numFmt w:val="bullet"/>
      <w:lvlText w:val=""/>
      <w:lvlJc w:val="left"/>
      <w:pPr>
        <w:ind w:left="4320" w:hanging="360"/>
      </w:pPr>
      <w:rPr>
        <w:rFonts w:ascii="Wingdings" w:hAnsi="Wingdings" w:hint="default"/>
      </w:rPr>
    </w:lvl>
    <w:lvl w:ilvl="6" w:tplc="6AE8BE6E" w:tentative="1">
      <w:start w:val="1"/>
      <w:numFmt w:val="bullet"/>
      <w:lvlText w:val=""/>
      <w:lvlJc w:val="left"/>
      <w:pPr>
        <w:ind w:left="5040" w:hanging="360"/>
      </w:pPr>
      <w:rPr>
        <w:rFonts w:ascii="Symbol" w:hAnsi="Symbol" w:hint="default"/>
      </w:rPr>
    </w:lvl>
    <w:lvl w:ilvl="7" w:tplc="09903316" w:tentative="1">
      <w:start w:val="1"/>
      <w:numFmt w:val="bullet"/>
      <w:lvlText w:val="o"/>
      <w:lvlJc w:val="left"/>
      <w:pPr>
        <w:ind w:left="5760" w:hanging="360"/>
      </w:pPr>
      <w:rPr>
        <w:rFonts w:ascii="Courier New" w:hAnsi="Courier New" w:cs="Courier New" w:hint="default"/>
      </w:rPr>
    </w:lvl>
    <w:lvl w:ilvl="8" w:tplc="5DA61E04" w:tentative="1">
      <w:start w:val="1"/>
      <w:numFmt w:val="bullet"/>
      <w:lvlText w:val=""/>
      <w:lvlJc w:val="left"/>
      <w:pPr>
        <w:ind w:left="6480" w:hanging="360"/>
      </w:pPr>
      <w:rPr>
        <w:rFonts w:ascii="Wingdings" w:hAnsi="Wingdings" w:hint="default"/>
      </w:rPr>
    </w:lvl>
  </w:abstractNum>
  <w:abstractNum w:abstractNumId="9" w15:restartNumberingAfterBreak="0">
    <w:nsid w:val="356D529C"/>
    <w:multiLevelType w:val="hybridMultilevel"/>
    <w:tmpl w:val="F5C06F74"/>
    <w:lvl w:ilvl="0" w:tplc="60FAB51C">
      <w:numFmt w:val="bullet"/>
      <w:lvlText w:val="-"/>
      <w:lvlJc w:val="left"/>
      <w:pPr>
        <w:ind w:left="720" w:hanging="360"/>
      </w:pPr>
      <w:rPr>
        <w:rFonts w:ascii="Garamond" w:eastAsiaTheme="minorHAnsi" w:hAnsi="Garamond" w:cstheme="minorBidi" w:hint="default"/>
      </w:rPr>
    </w:lvl>
    <w:lvl w:ilvl="1" w:tplc="6FEE5A30" w:tentative="1">
      <w:start w:val="1"/>
      <w:numFmt w:val="bullet"/>
      <w:lvlText w:val="o"/>
      <w:lvlJc w:val="left"/>
      <w:pPr>
        <w:ind w:left="1440" w:hanging="360"/>
      </w:pPr>
      <w:rPr>
        <w:rFonts w:ascii="Courier New" w:hAnsi="Courier New" w:cs="Courier New" w:hint="default"/>
      </w:rPr>
    </w:lvl>
    <w:lvl w:ilvl="2" w:tplc="3D626D7E" w:tentative="1">
      <w:start w:val="1"/>
      <w:numFmt w:val="bullet"/>
      <w:lvlText w:val=""/>
      <w:lvlJc w:val="left"/>
      <w:pPr>
        <w:ind w:left="2160" w:hanging="360"/>
      </w:pPr>
      <w:rPr>
        <w:rFonts w:ascii="Wingdings" w:hAnsi="Wingdings" w:hint="default"/>
      </w:rPr>
    </w:lvl>
    <w:lvl w:ilvl="3" w:tplc="FCBC808C" w:tentative="1">
      <w:start w:val="1"/>
      <w:numFmt w:val="bullet"/>
      <w:lvlText w:val=""/>
      <w:lvlJc w:val="left"/>
      <w:pPr>
        <w:ind w:left="2880" w:hanging="360"/>
      </w:pPr>
      <w:rPr>
        <w:rFonts w:ascii="Symbol" w:hAnsi="Symbol" w:hint="default"/>
      </w:rPr>
    </w:lvl>
    <w:lvl w:ilvl="4" w:tplc="00680F84" w:tentative="1">
      <w:start w:val="1"/>
      <w:numFmt w:val="bullet"/>
      <w:lvlText w:val="o"/>
      <w:lvlJc w:val="left"/>
      <w:pPr>
        <w:ind w:left="3600" w:hanging="360"/>
      </w:pPr>
      <w:rPr>
        <w:rFonts w:ascii="Courier New" w:hAnsi="Courier New" w:cs="Courier New" w:hint="default"/>
      </w:rPr>
    </w:lvl>
    <w:lvl w:ilvl="5" w:tplc="80048602" w:tentative="1">
      <w:start w:val="1"/>
      <w:numFmt w:val="bullet"/>
      <w:lvlText w:val=""/>
      <w:lvlJc w:val="left"/>
      <w:pPr>
        <w:ind w:left="4320" w:hanging="360"/>
      </w:pPr>
      <w:rPr>
        <w:rFonts w:ascii="Wingdings" w:hAnsi="Wingdings" w:hint="default"/>
      </w:rPr>
    </w:lvl>
    <w:lvl w:ilvl="6" w:tplc="63B0DD58" w:tentative="1">
      <w:start w:val="1"/>
      <w:numFmt w:val="bullet"/>
      <w:lvlText w:val=""/>
      <w:lvlJc w:val="left"/>
      <w:pPr>
        <w:ind w:left="5040" w:hanging="360"/>
      </w:pPr>
      <w:rPr>
        <w:rFonts w:ascii="Symbol" w:hAnsi="Symbol" w:hint="default"/>
      </w:rPr>
    </w:lvl>
    <w:lvl w:ilvl="7" w:tplc="14DC80C4" w:tentative="1">
      <w:start w:val="1"/>
      <w:numFmt w:val="bullet"/>
      <w:lvlText w:val="o"/>
      <w:lvlJc w:val="left"/>
      <w:pPr>
        <w:ind w:left="5760" w:hanging="360"/>
      </w:pPr>
      <w:rPr>
        <w:rFonts w:ascii="Courier New" w:hAnsi="Courier New" w:cs="Courier New" w:hint="default"/>
      </w:rPr>
    </w:lvl>
    <w:lvl w:ilvl="8" w:tplc="51CA4C24" w:tentative="1">
      <w:start w:val="1"/>
      <w:numFmt w:val="bullet"/>
      <w:lvlText w:val=""/>
      <w:lvlJc w:val="left"/>
      <w:pPr>
        <w:ind w:left="6480" w:hanging="360"/>
      </w:pPr>
      <w:rPr>
        <w:rFonts w:ascii="Wingdings" w:hAnsi="Wingdings" w:hint="default"/>
      </w:rPr>
    </w:lvl>
  </w:abstractNum>
  <w:abstractNum w:abstractNumId="10" w15:restartNumberingAfterBreak="0">
    <w:nsid w:val="3D7A3D2B"/>
    <w:multiLevelType w:val="hybridMultilevel"/>
    <w:tmpl w:val="26025F42"/>
    <w:lvl w:ilvl="0" w:tplc="43C2E6A0">
      <w:start w:val="1"/>
      <w:numFmt w:val="decimal"/>
      <w:lvlText w:val="%1."/>
      <w:lvlJc w:val="left"/>
      <w:pPr>
        <w:ind w:left="720" w:hanging="360"/>
      </w:pPr>
    </w:lvl>
    <w:lvl w:ilvl="1" w:tplc="473C2B58">
      <w:start w:val="1"/>
      <w:numFmt w:val="lowerLetter"/>
      <w:pStyle w:val="Outlinelevel2"/>
      <w:lvlText w:val="%2."/>
      <w:lvlJc w:val="left"/>
      <w:pPr>
        <w:ind w:left="1440" w:hanging="360"/>
      </w:pPr>
      <w:rPr>
        <w:b w:val="0"/>
      </w:rPr>
    </w:lvl>
    <w:lvl w:ilvl="2" w:tplc="3B64FDC0">
      <w:start w:val="1"/>
      <w:numFmt w:val="lowerRoman"/>
      <w:pStyle w:val="Outlinelevel3"/>
      <w:lvlText w:val="%3."/>
      <w:lvlJc w:val="right"/>
      <w:pPr>
        <w:ind w:left="2070" w:hanging="180"/>
      </w:pPr>
      <w:rPr>
        <w:i w:val="0"/>
      </w:rPr>
    </w:lvl>
    <w:lvl w:ilvl="3" w:tplc="49C6B432">
      <w:start w:val="1"/>
      <w:numFmt w:val="decimal"/>
      <w:pStyle w:val="Outlinelevel4"/>
      <w:lvlText w:val="%4."/>
      <w:lvlJc w:val="left"/>
      <w:pPr>
        <w:ind w:left="2880" w:hanging="360"/>
      </w:pPr>
    </w:lvl>
    <w:lvl w:ilvl="4" w:tplc="590CA428" w:tentative="1">
      <w:start w:val="1"/>
      <w:numFmt w:val="lowerLetter"/>
      <w:lvlText w:val="%5."/>
      <w:lvlJc w:val="left"/>
      <w:pPr>
        <w:ind w:left="3600" w:hanging="360"/>
      </w:pPr>
    </w:lvl>
    <w:lvl w:ilvl="5" w:tplc="19E60AAC" w:tentative="1">
      <w:start w:val="1"/>
      <w:numFmt w:val="lowerRoman"/>
      <w:lvlText w:val="%6."/>
      <w:lvlJc w:val="right"/>
      <w:pPr>
        <w:ind w:left="4320" w:hanging="180"/>
      </w:pPr>
    </w:lvl>
    <w:lvl w:ilvl="6" w:tplc="A3883074" w:tentative="1">
      <w:start w:val="1"/>
      <w:numFmt w:val="decimal"/>
      <w:lvlText w:val="%7."/>
      <w:lvlJc w:val="left"/>
      <w:pPr>
        <w:ind w:left="5040" w:hanging="360"/>
      </w:pPr>
    </w:lvl>
    <w:lvl w:ilvl="7" w:tplc="2D06AD72" w:tentative="1">
      <w:start w:val="1"/>
      <w:numFmt w:val="lowerLetter"/>
      <w:lvlText w:val="%8."/>
      <w:lvlJc w:val="left"/>
      <w:pPr>
        <w:ind w:left="5760" w:hanging="360"/>
      </w:pPr>
    </w:lvl>
    <w:lvl w:ilvl="8" w:tplc="5D2A7CD8" w:tentative="1">
      <w:start w:val="1"/>
      <w:numFmt w:val="lowerRoman"/>
      <w:lvlText w:val="%9."/>
      <w:lvlJc w:val="right"/>
      <w:pPr>
        <w:ind w:left="6480" w:hanging="180"/>
      </w:pPr>
    </w:lvl>
  </w:abstractNum>
  <w:abstractNum w:abstractNumId="11" w15:restartNumberingAfterBreak="0">
    <w:nsid w:val="43152C42"/>
    <w:multiLevelType w:val="hybridMultilevel"/>
    <w:tmpl w:val="4A7C06EC"/>
    <w:lvl w:ilvl="0" w:tplc="9DB0CF14">
      <w:start w:val="1"/>
      <w:numFmt w:val="bullet"/>
      <w:lvlText w:val=""/>
      <w:lvlJc w:val="left"/>
      <w:pPr>
        <w:ind w:left="720" w:hanging="360"/>
      </w:pPr>
      <w:rPr>
        <w:rFonts w:ascii="Symbol" w:hAnsi="Symbol" w:hint="default"/>
      </w:rPr>
    </w:lvl>
    <w:lvl w:ilvl="1" w:tplc="C5FCDFEC" w:tentative="1">
      <w:start w:val="1"/>
      <w:numFmt w:val="bullet"/>
      <w:lvlText w:val="o"/>
      <w:lvlJc w:val="left"/>
      <w:pPr>
        <w:ind w:left="1440" w:hanging="360"/>
      </w:pPr>
      <w:rPr>
        <w:rFonts w:ascii="Courier New" w:hAnsi="Courier New" w:cs="Courier New" w:hint="default"/>
      </w:rPr>
    </w:lvl>
    <w:lvl w:ilvl="2" w:tplc="076E573A" w:tentative="1">
      <w:start w:val="1"/>
      <w:numFmt w:val="bullet"/>
      <w:lvlText w:val=""/>
      <w:lvlJc w:val="left"/>
      <w:pPr>
        <w:ind w:left="2160" w:hanging="360"/>
      </w:pPr>
      <w:rPr>
        <w:rFonts w:ascii="Wingdings" w:hAnsi="Wingdings" w:hint="default"/>
      </w:rPr>
    </w:lvl>
    <w:lvl w:ilvl="3" w:tplc="D6F638D0" w:tentative="1">
      <w:start w:val="1"/>
      <w:numFmt w:val="bullet"/>
      <w:lvlText w:val=""/>
      <w:lvlJc w:val="left"/>
      <w:pPr>
        <w:ind w:left="2880" w:hanging="360"/>
      </w:pPr>
      <w:rPr>
        <w:rFonts w:ascii="Symbol" w:hAnsi="Symbol" w:hint="default"/>
      </w:rPr>
    </w:lvl>
    <w:lvl w:ilvl="4" w:tplc="EE46ACFC" w:tentative="1">
      <w:start w:val="1"/>
      <w:numFmt w:val="bullet"/>
      <w:lvlText w:val="o"/>
      <w:lvlJc w:val="left"/>
      <w:pPr>
        <w:ind w:left="3600" w:hanging="360"/>
      </w:pPr>
      <w:rPr>
        <w:rFonts w:ascii="Courier New" w:hAnsi="Courier New" w:cs="Courier New" w:hint="default"/>
      </w:rPr>
    </w:lvl>
    <w:lvl w:ilvl="5" w:tplc="C6728BD4" w:tentative="1">
      <w:start w:val="1"/>
      <w:numFmt w:val="bullet"/>
      <w:lvlText w:val=""/>
      <w:lvlJc w:val="left"/>
      <w:pPr>
        <w:ind w:left="4320" w:hanging="360"/>
      </w:pPr>
      <w:rPr>
        <w:rFonts w:ascii="Wingdings" w:hAnsi="Wingdings" w:hint="default"/>
      </w:rPr>
    </w:lvl>
    <w:lvl w:ilvl="6" w:tplc="EE888310" w:tentative="1">
      <w:start w:val="1"/>
      <w:numFmt w:val="bullet"/>
      <w:lvlText w:val=""/>
      <w:lvlJc w:val="left"/>
      <w:pPr>
        <w:ind w:left="5040" w:hanging="360"/>
      </w:pPr>
      <w:rPr>
        <w:rFonts w:ascii="Symbol" w:hAnsi="Symbol" w:hint="default"/>
      </w:rPr>
    </w:lvl>
    <w:lvl w:ilvl="7" w:tplc="65B66A18" w:tentative="1">
      <w:start w:val="1"/>
      <w:numFmt w:val="bullet"/>
      <w:lvlText w:val="o"/>
      <w:lvlJc w:val="left"/>
      <w:pPr>
        <w:ind w:left="5760" w:hanging="360"/>
      </w:pPr>
      <w:rPr>
        <w:rFonts w:ascii="Courier New" w:hAnsi="Courier New" w:cs="Courier New" w:hint="default"/>
      </w:rPr>
    </w:lvl>
    <w:lvl w:ilvl="8" w:tplc="B6382B9E" w:tentative="1">
      <w:start w:val="1"/>
      <w:numFmt w:val="bullet"/>
      <w:lvlText w:val=""/>
      <w:lvlJc w:val="left"/>
      <w:pPr>
        <w:ind w:left="6480" w:hanging="360"/>
      </w:pPr>
      <w:rPr>
        <w:rFonts w:ascii="Wingdings" w:hAnsi="Wingdings" w:hint="default"/>
      </w:rPr>
    </w:lvl>
  </w:abstractNum>
  <w:abstractNum w:abstractNumId="12" w15:restartNumberingAfterBreak="0">
    <w:nsid w:val="46B66F07"/>
    <w:multiLevelType w:val="hybridMultilevel"/>
    <w:tmpl w:val="BFCA5986"/>
    <w:lvl w:ilvl="0" w:tplc="FF8ADFAC">
      <w:numFmt w:val="bullet"/>
      <w:lvlText w:val="-"/>
      <w:lvlJc w:val="left"/>
      <w:pPr>
        <w:ind w:left="720" w:hanging="360"/>
      </w:pPr>
      <w:rPr>
        <w:rFonts w:ascii="Garamond" w:eastAsiaTheme="minorHAnsi" w:hAnsi="Garamond" w:cstheme="minorBidi" w:hint="default"/>
        <w:b/>
      </w:rPr>
    </w:lvl>
    <w:lvl w:ilvl="1" w:tplc="81BC7C3C" w:tentative="1">
      <w:start w:val="1"/>
      <w:numFmt w:val="bullet"/>
      <w:lvlText w:val="o"/>
      <w:lvlJc w:val="left"/>
      <w:pPr>
        <w:ind w:left="1440" w:hanging="360"/>
      </w:pPr>
      <w:rPr>
        <w:rFonts w:ascii="Courier New" w:hAnsi="Courier New" w:cs="Courier New" w:hint="default"/>
      </w:rPr>
    </w:lvl>
    <w:lvl w:ilvl="2" w:tplc="AA6C6BB0" w:tentative="1">
      <w:start w:val="1"/>
      <w:numFmt w:val="bullet"/>
      <w:lvlText w:val=""/>
      <w:lvlJc w:val="left"/>
      <w:pPr>
        <w:ind w:left="2160" w:hanging="360"/>
      </w:pPr>
      <w:rPr>
        <w:rFonts w:ascii="Wingdings" w:hAnsi="Wingdings" w:hint="default"/>
      </w:rPr>
    </w:lvl>
    <w:lvl w:ilvl="3" w:tplc="AEE2B01E" w:tentative="1">
      <w:start w:val="1"/>
      <w:numFmt w:val="bullet"/>
      <w:lvlText w:val=""/>
      <w:lvlJc w:val="left"/>
      <w:pPr>
        <w:ind w:left="2880" w:hanging="360"/>
      </w:pPr>
      <w:rPr>
        <w:rFonts w:ascii="Symbol" w:hAnsi="Symbol" w:hint="default"/>
      </w:rPr>
    </w:lvl>
    <w:lvl w:ilvl="4" w:tplc="1262BFBC" w:tentative="1">
      <w:start w:val="1"/>
      <w:numFmt w:val="bullet"/>
      <w:lvlText w:val="o"/>
      <w:lvlJc w:val="left"/>
      <w:pPr>
        <w:ind w:left="3600" w:hanging="360"/>
      </w:pPr>
      <w:rPr>
        <w:rFonts w:ascii="Courier New" w:hAnsi="Courier New" w:cs="Courier New" w:hint="default"/>
      </w:rPr>
    </w:lvl>
    <w:lvl w:ilvl="5" w:tplc="275EA26E" w:tentative="1">
      <w:start w:val="1"/>
      <w:numFmt w:val="bullet"/>
      <w:lvlText w:val=""/>
      <w:lvlJc w:val="left"/>
      <w:pPr>
        <w:ind w:left="4320" w:hanging="360"/>
      </w:pPr>
      <w:rPr>
        <w:rFonts w:ascii="Wingdings" w:hAnsi="Wingdings" w:hint="default"/>
      </w:rPr>
    </w:lvl>
    <w:lvl w:ilvl="6" w:tplc="01D6C28E" w:tentative="1">
      <w:start w:val="1"/>
      <w:numFmt w:val="bullet"/>
      <w:lvlText w:val=""/>
      <w:lvlJc w:val="left"/>
      <w:pPr>
        <w:ind w:left="5040" w:hanging="360"/>
      </w:pPr>
      <w:rPr>
        <w:rFonts w:ascii="Symbol" w:hAnsi="Symbol" w:hint="default"/>
      </w:rPr>
    </w:lvl>
    <w:lvl w:ilvl="7" w:tplc="52FCDE68" w:tentative="1">
      <w:start w:val="1"/>
      <w:numFmt w:val="bullet"/>
      <w:lvlText w:val="o"/>
      <w:lvlJc w:val="left"/>
      <w:pPr>
        <w:ind w:left="5760" w:hanging="360"/>
      </w:pPr>
      <w:rPr>
        <w:rFonts w:ascii="Courier New" w:hAnsi="Courier New" w:cs="Courier New" w:hint="default"/>
      </w:rPr>
    </w:lvl>
    <w:lvl w:ilvl="8" w:tplc="E112EEB8" w:tentative="1">
      <w:start w:val="1"/>
      <w:numFmt w:val="bullet"/>
      <w:lvlText w:val=""/>
      <w:lvlJc w:val="left"/>
      <w:pPr>
        <w:ind w:left="6480" w:hanging="360"/>
      </w:pPr>
      <w:rPr>
        <w:rFonts w:ascii="Wingdings" w:hAnsi="Wingdings" w:hint="default"/>
      </w:rPr>
    </w:lvl>
  </w:abstractNum>
  <w:abstractNum w:abstractNumId="13" w15:restartNumberingAfterBreak="0">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D04A4"/>
    <w:multiLevelType w:val="hybridMultilevel"/>
    <w:tmpl w:val="61321A66"/>
    <w:lvl w:ilvl="0" w:tplc="CF8E24A0">
      <w:start w:val="1"/>
      <w:numFmt w:val="bullet"/>
      <w:lvlText w:val=""/>
      <w:lvlJc w:val="left"/>
      <w:pPr>
        <w:ind w:left="720" w:hanging="360"/>
      </w:pPr>
      <w:rPr>
        <w:rFonts w:ascii="Symbol" w:hAnsi="Symbol" w:hint="default"/>
      </w:rPr>
    </w:lvl>
    <w:lvl w:ilvl="1" w:tplc="9154A840" w:tentative="1">
      <w:start w:val="1"/>
      <w:numFmt w:val="bullet"/>
      <w:lvlText w:val="o"/>
      <w:lvlJc w:val="left"/>
      <w:pPr>
        <w:ind w:left="1440" w:hanging="360"/>
      </w:pPr>
      <w:rPr>
        <w:rFonts w:ascii="Courier New" w:hAnsi="Courier New" w:cs="Courier New" w:hint="default"/>
      </w:rPr>
    </w:lvl>
    <w:lvl w:ilvl="2" w:tplc="15DE6448" w:tentative="1">
      <w:start w:val="1"/>
      <w:numFmt w:val="bullet"/>
      <w:lvlText w:val=""/>
      <w:lvlJc w:val="left"/>
      <w:pPr>
        <w:ind w:left="2160" w:hanging="360"/>
      </w:pPr>
      <w:rPr>
        <w:rFonts w:ascii="Wingdings" w:hAnsi="Wingdings" w:hint="default"/>
      </w:rPr>
    </w:lvl>
    <w:lvl w:ilvl="3" w:tplc="81460082" w:tentative="1">
      <w:start w:val="1"/>
      <w:numFmt w:val="bullet"/>
      <w:lvlText w:val=""/>
      <w:lvlJc w:val="left"/>
      <w:pPr>
        <w:ind w:left="2880" w:hanging="360"/>
      </w:pPr>
      <w:rPr>
        <w:rFonts w:ascii="Symbol" w:hAnsi="Symbol" w:hint="default"/>
      </w:rPr>
    </w:lvl>
    <w:lvl w:ilvl="4" w:tplc="DA466BD8" w:tentative="1">
      <w:start w:val="1"/>
      <w:numFmt w:val="bullet"/>
      <w:lvlText w:val="o"/>
      <w:lvlJc w:val="left"/>
      <w:pPr>
        <w:ind w:left="3600" w:hanging="360"/>
      </w:pPr>
      <w:rPr>
        <w:rFonts w:ascii="Courier New" w:hAnsi="Courier New" w:cs="Courier New" w:hint="default"/>
      </w:rPr>
    </w:lvl>
    <w:lvl w:ilvl="5" w:tplc="C23281D0" w:tentative="1">
      <w:start w:val="1"/>
      <w:numFmt w:val="bullet"/>
      <w:lvlText w:val=""/>
      <w:lvlJc w:val="left"/>
      <w:pPr>
        <w:ind w:left="4320" w:hanging="360"/>
      </w:pPr>
      <w:rPr>
        <w:rFonts w:ascii="Wingdings" w:hAnsi="Wingdings" w:hint="default"/>
      </w:rPr>
    </w:lvl>
    <w:lvl w:ilvl="6" w:tplc="A3A8F40A" w:tentative="1">
      <w:start w:val="1"/>
      <w:numFmt w:val="bullet"/>
      <w:lvlText w:val=""/>
      <w:lvlJc w:val="left"/>
      <w:pPr>
        <w:ind w:left="5040" w:hanging="360"/>
      </w:pPr>
      <w:rPr>
        <w:rFonts w:ascii="Symbol" w:hAnsi="Symbol" w:hint="default"/>
      </w:rPr>
    </w:lvl>
    <w:lvl w:ilvl="7" w:tplc="C50CD256" w:tentative="1">
      <w:start w:val="1"/>
      <w:numFmt w:val="bullet"/>
      <w:lvlText w:val="o"/>
      <w:lvlJc w:val="left"/>
      <w:pPr>
        <w:ind w:left="5760" w:hanging="360"/>
      </w:pPr>
      <w:rPr>
        <w:rFonts w:ascii="Courier New" w:hAnsi="Courier New" w:cs="Courier New" w:hint="default"/>
      </w:rPr>
    </w:lvl>
    <w:lvl w:ilvl="8" w:tplc="D0D05874" w:tentative="1">
      <w:start w:val="1"/>
      <w:numFmt w:val="bullet"/>
      <w:lvlText w:val=""/>
      <w:lvlJc w:val="left"/>
      <w:pPr>
        <w:ind w:left="6480" w:hanging="360"/>
      </w:pPr>
      <w:rPr>
        <w:rFonts w:ascii="Wingdings" w:hAnsi="Wingdings" w:hint="default"/>
      </w:rPr>
    </w:lvl>
  </w:abstractNum>
  <w:abstractNum w:abstractNumId="15" w15:restartNumberingAfterBreak="0">
    <w:nsid w:val="73F54A29"/>
    <w:multiLevelType w:val="hybridMultilevel"/>
    <w:tmpl w:val="A29E39CE"/>
    <w:lvl w:ilvl="0" w:tplc="725A4D0A">
      <w:start w:val="1"/>
      <w:numFmt w:val="bullet"/>
      <w:lvlText w:val=""/>
      <w:lvlJc w:val="left"/>
      <w:pPr>
        <w:ind w:left="720" w:hanging="360"/>
      </w:pPr>
      <w:rPr>
        <w:rFonts w:ascii="Symbol" w:hAnsi="Symbol" w:hint="default"/>
      </w:rPr>
    </w:lvl>
    <w:lvl w:ilvl="1" w:tplc="0F14F8DE" w:tentative="1">
      <w:start w:val="1"/>
      <w:numFmt w:val="bullet"/>
      <w:lvlText w:val="o"/>
      <w:lvlJc w:val="left"/>
      <w:pPr>
        <w:ind w:left="1440" w:hanging="360"/>
      </w:pPr>
      <w:rPr>
        <w:rFonts w:ascii="Courier New" w:hAnsi="Courier New" w:cs="Courier New" w:hint="default"/>
      </w:rPr>
    </w:lvl>
    <w:lvl w:ilvl="2" w:tplc="0BC85C82" w:tentative="1">
      <w:start w:val="1"/>
      <w:numFmt w:val="bullet"/>
      <w:lvlText w:val=""/>
      <w:lvlJc w:val="left"/>
      <w:pPr>
        <w:ind w:left="2160" w:hanging="360"/>
      </w:pPr>
      <w:rPr>
        <w:rFonts w:ascii="Wingdings" w:hAnsi="Wingdings" w:hint="default"/>
      </w:rPr>
    </w:lvl>
    <w:lvl w:ilvl="3" w:tplc="6598DEBC" w:tentative="1">
      <w:start w:val="1"/>
      <w:numFmt w:val="bullet"/>
      <w:lvlText w:val=""/>
      <w:lvlJc w:val="left"/>
      <w:pPr>
        <w:ind w:left="2880" w:hanging="360"/>
      </w:pPr>
      <w:rPr>
        <w:rFonts w:ascii="Symbol" w:hAnsi="Symbol" w:hint="default"/>
      </w:rPr>
    </w:lvl>
    <w:lvl w:ilvl="4" w:tplc="8A324580" w:tentative="1">
      <w:start w:val="1"/>
      <w:numFmt w:val="bullet"/>
      <w:lvlText w:val="o"/>
      <w:lvlJc w:val="left"/>
      <w:pPr>
        <w:ind w:left="3600" w:hanging="360"/>
      </w:pPr>
      <w:rPr>
        <w:rFonts w:ascii="Courier New" w:hAnsi="Courier New" w:cs="Courier New" w:hint="default"/>
      </w:rPr>
    </w:lvl>
    <w:lvl w:ilvl="5" w:tplc="B2EC8B7A" w:tentative="1">
      <w:start w:val="1"/>
      <w:numFmt w:val="bullet"/>
      <w:lvlText w:val=""/>
      <w:lvlJc w:val="left"/>
      <w:pPr>
        <w:ind w:left="4320" w:hanging="360"/>
      </w:pPr>
      <w:rPr>
        <w:rFonts w:ascii="Wingdings" w:hAnsi="Wingdings" w:hint="default"/>
      </w:rPr>
    </w:lvl>
    <w:lvl w:ilvl="6" w:tplc="2F984D22" w:tentative="1">
      <w:start w:val="1"/>
      <w:numFmt w:val="bullet"/>
      <w:lvlText w:val=""/>
      <w:lvlJc w:val="left"/>
      <w:pPr>
        <w:ind w:left="5040" w:hanging="360"/>
      </w:pPr>
      <w:rPr>
        <w:rFonts w:ascii="Symbol" w:hAnsi="Symbol" w:hint="default"/>
      </w:rPr>
    </w:lvl>
    <w:lvl w:ilvl="7" w:tplc="8320EEDE" w:tentative="1">
      <w:start w:val="1"/>
      <w:numFmt w:val="bullet"/>
      <w:lvlText w:val="o"/>
      <w:lvlJc w:val="left"/>
      <w:pPr>
        <w:ind w:left="5760" w:hanging="360"/>
      </w:pPr>
      <w:rPr>
        <w:rFonts w:ascii="Courier New" w:hAnsi="Courier New" w:cs="Courier New" w:hint="default"/>
      </w:rPr>
    </w:lvl>
    <w:lvl w:ilvl="8" w:tplc="48CE67B6" w:tentative="1">
      <w:start w:val="1"/>
      <w:numFmt w:val="bullet"/>
      <w:lvlText w:val=""/>
      <w:lvlJc w:val="left"/>
      <w:pPr>
        <w:ind w:left="6480" w:hanging="360"/>
      </w:pPr>
      <w:rPr>
        <w:rFonts w:ascii="Wingdings" w:hAnsi="Wingdings" w:hint="default"/>
      </w:rPr>
    </w:lvl>
  </w:abstractNum>
  <w:abstractNum w:abstractNumId="16" w15:restartNumberingAfterBreak="0">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4"/>
  </w:num>
  <w:num w:numId="5">
    <w:abstractNumId w:val="10"/>
  </w:num>
  <w:num w:numId="6">
    <w:abstractNumId w:val="5"/>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6"/>
  </w:num>
  <w:num w:numId="12">
    <w:abstractNumId w:val="11"/>
  </w:num>
  <w:num w:numId="13">
    <w:abstractNumId w:val="6"/>
  </w:num>
  <w:num w:numId="14">
    <w:abstractNumId w:val="1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4"/>
  </w:num>
  <w:num w:numId="24">
    <w:abstractNumId w:val="15"/>
  </w:num>
  <w:num w:numId="25">
    <w:abstractNumId w:val="1"/>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9"/>
  </w:num>
  <w:num w:numId="41">
    <w:abstractNumId w:val="7"/>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C13BA7"/>
    <w:rsid w:val="000162FC"/>
    <w:rsid w:val="0005649C"/>
    <w:rsid w:val="00080C83"/>
    <w:rsid w:val="00162FD1"/>
    <w:rsid w:val="00226301"/>
    <w:rsid w:val="00232194"/>
    <w:rsid w:val="0024475D"/>
    <w:rsid w:val="003667F4"/>
    <w:rsid w:val="0036766C"/>
    <w:rsid w:val="00377D26"/>
    <w:rsid w:val="00390F68"/>
    <w:rsid w:val="004E567B"/>
    <w:rsid w:val="0052621E"/>
    <w:rsid w:val="005B6361"/>
    <w:rsid w:val="00662E0B"/>
    <w:rsid w:val="00687CED"/>
    <w:rsid w:val="00726463"/>
    <w:rsid w:val="00802C08"/>
    <w:rsid w:val="008B4C62"/>
    <w:rsid w:val="00956CD6"/>
    <w:rsid w:val="00985010"/>
    <w:rsid w:val="00A63389"/>
    <w:rsid w:val="00B5053C"/>
    <w:rsid w:val="00B54C48"/>
    <w:rsid w:val="00BC2519"/>
    <w:rsid w:val="00C13BA7"/>
    <w:rsid w:val="00C74FFF"/>
    <w:rsid w:val="00CB2B3C"/>
    <w:rsid w:val="00CB3B35"/>
    <w:rsid w:val="00D14D54"/>
    <w:rsid w:val="00D71E35"/>
    <w:rsid w:val="00DE0CB5"/>
    <w:rsid w:val="00E565F9"/>
    <w:rsid w:val="00F979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B945"/>
  <w15:docId w15:val="{3DEF13FF-02E9-4563-9F0A-DF6D82EA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15E38"/>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ownload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ified_x0020_Date_x0020__x0026__x0020_Time xmlns="9af227aa-5493-4bfe-a302-9771bcf92926" xsi:nil="true"/>
    <date xmlns="9af227aa-5493-4bfe-a302-9771bcf92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35E6-BDB5-4622-A43F-8B0B91F2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4A07B-DBB9-46BC-8780-3E291C52C34B}">
  <ds:schemaRefs>
    <ds:schemaRef ds:uri="http://schemas.microsoft.com/office/2006/metadata/properties"/>
    <ds:schemaRef ds:uri="http://schemas.microsoft.com/office/infopath/2007/PartnerControls"/>
    <ds:schemaRef ds:uri="9af227aa-5493-4bfe-a302-9771bcf92926"/>
  </ds:schemaRefs>
</ds:datastoreItem>
</file>

<file path=customXml/itemProps3.xml><?xml version="1.0" encoding="utf-8"?>
<ds:datastoreItem xmlns:ds="http://schemas.openxmlformats.org/officeDocument/2006/customXml" ds:itemID="{6D07637A-9278-4A24-9AB2-405BCE0C279F}">
  <ds:schemaRefs>
    <ds:schemaRef ds:uri="http://schemas.microsoft.com/sharepoint/v3/contenttype/forms"/>
  </ds:schemaRefs>
</ds:datastoreItem>
</file>

<file path=customXml/itemProps4.xml><?xml version="1.0" encoding="utf-8"?>
<ds:datastoreItem xmlns:ds="http://schemas.openxmlformats.org/officeDocument/2006/customXml" ds:itemID="{0788F1CD-8610-4253-B5E3-20EBCCF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2</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Cruffing</dc:creator>
  <cp:lastModifiedBy>Brad Faulhaber</cp:lastModifiedBy>
  <cp:revision>2</cp:revision>
  <dcterms:created xsi:type="dcterms:W3CDTF">2020-05-05T17:10:00Z</dcterms:created>
  <dcterms:modified xsi:type="dcterms:W3CDTF">2020-05-05T17:10:00Z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ies>
</file>